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3F" w:rsidRPr="003A1C99" w:rsidRDefault="004E313F" w:rsidP="00DF60B7">
      <w:pPr>
        <w:spacing w:line="240" w:lineRule="auto"/>
        <w:jc w:val="both"/>
        <w:rPr>
          <w:rFonts w:ascii="Century Gothic" w:hAnsi="Century Gothic"/>
          <w:i/>
          <w:noProof/>
        </w:rPr>
      </w:pPr>
    </w:p>
    <w:p w:rsidR="004E313F" w:rsidRPr="003A1C99" w:rsidRDefault="004E313F" w:rsidP="00DF60B7">
      <w:pPr>
        <w:spacing w:line="240" w:lineRule="auto"/>
        <w:jc w:val="both"/>
        <w:rPr>
          <w:rFonts w:ascii="Century Gothic" w:hAnsi="Century Gothic"/>
          <w:i/>
          <w:noProof/>
        </w:rPr>
      </w:pPr>
    </w:p>
    <w:p w:rsidR="004E313F" w:rsidRPr="003A1C99" w:rsidRDefault="00EF1AFA" w:rsidP="00DF60B7">
      <w:pPr>
        <w:spacing w:line="240" w:lineRule="auto"/>
        <w:jc w:val="both"/>
        <w:rPr>
          <w:rFonts w:ascii="Century Gothic" w:hAnsi="Century Gothic" w:cs="Arial"/>
          <w:b/>
        </w:rPr>
      </w:pPr>
      <w:r w:rsidRPr="003A1C99">
        <w:rPr>
          <w:rFonts w:ascii="Century Gothic" w:hAnsi="Century Gothic"/>
          <w:noProof/>
        </w:rPr>
        <w:drawing>
          <wp:anchor distT="0" distB="0" distL="114300" distR="114300" simplePos="0" relativeHeight="251657728" behindDoc="1" locked="0" layoutInCell="1" allowOverlap="1" wp14:anchorId="2C4F8F1B" wp14:editId="0331CA6A">
            <wp:simplePos x="0" y="0"/>
            <wp:positionH relativeFrom="page">
              <wp:align>left</wp:align>
            </wp:positionH>
            <wp:positionV relativeFrom="paragraph">
              <wp:posOffset>-1165225</wp:posOffset>
            </wp:positionV>
            <wp:extent cx="7839075" cy="10682605"/>
            <wp:effectExtent l="0" t="0" r="9525" b="444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6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AFA" w:rsidRPr="003A1C99" w:rsidRDefault="00EF1AFA" w:rsidP="00DF60B7">
      <w:pPr>
        <w:spacing w:line="240" w:lineRule="auto"/>
        <w:jc w:val="both"/>
        <w:rPr>
          <w:rFonts w:ascii="Century Gothic" w:hAnsi="Century Gothic" w:cs="Arial"/>
          <w:b/>
        </w:rPr>
      </w:pPr>
    </w:p>
    <w:p w:rsidR="004E313F" w:rsidRPr="003A1C99" w:rsidRDefault="004E313F" w:rsidP="00DF60B7">
      <w:pPr>
        <w:spacing w:after="0"/>
        <w:ind w:left="2880"/>
        <w:jc w:val="both"/>
        <w:rPr>
          <w:rFonts w:ascii="Century Gothic" w:hAnsi="Century Gothic"/>
          <w:i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b/>
          <w:bCs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b/>
          <w:bCs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b/>
          <w:bCs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b/>
          <w:bCs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b/>
          <w:bCs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b/>
          <w:bCs/>
        </w:rPr>
      </w:pPr>
    </w:p>
    <w:p w:rsidR="004E313F" w:rsidRPr="003A1C99" w:rsidRDefault="004E313F" w:rsidP="00DF60B7">
      <w:pPr>
        <w:spacing w:line="240" w:lineRule="auto"/>
        <w:jc w:val="both"/>
        <w:rPr>
          <w:rFonts w:ascii="Century Gothic" w:hAnsi="Century Gothic" w:cs="Arial"/>
          <w:b/>
        </w:rPr>
      </w:pPr>
    </w:p>
    <w:p w:rsidR="004E313F" w:rsidRPr="003A1C99" w:rsidRDefault="004E313F" w:rsidP="00DF60B7">
      <w:pPr>
        <w:spacing w:line="240" w:lineRule="auto"/>
        <w:jc w:val="both"/>
        <w:rPr>
          <w:rFonts w:ascii="Century Gothic" w:eastAsia="Times New Roman" w:hAnsi="Century Gothic" w:cs="Calibri"/>
          <w:b/>
          <w:lang w:val="en-GB" w:eastAsia="en-GB"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noProof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noProof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noProof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noProof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noProof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noProof/>
        </w:rPr>
      </w:pPr>
    </w:p>
    <w:p w:rsidR="004E313F" w:rsidRPr="003A1C99" w:rsidRDefault="004E313F" w:rsidP="00DF60B7">
      <w:pPr>
        <w:spacing w:line="360" w:lineRule="auto"/>
        <w:ind w:left="-720"/>
        <w:jc w:val="both"/>
        <w:rPr>
          <w:rFonts w:ascii="Century Gothic" w:hAnsi="Century Gothic"/>
          <w:noProof/>
        </w:rPr>
      </w:pPr>
    </w:p>
    <w:p w:rsidR="002F6635" w:rsidRPr="003A1C99" w:rsidRDefault="002F6635" w:rsidP="00A05ADA">
      <w:pPr>
        <w:spacing w:line="360" w:lineRule="auto"/>
        <w:ind w:left="-720"/>
        <w:jc w:val="center"/>
        <w:rPr>
          <w:rFonts w:ascii="Century Gothic" w:eastAsia="Times New Roman" w:hAnsi="Century Gothic" w:cs="Calibri"/>
          <w:b/>
          <w:color w:val="FFFFFF" w:themeColor="background1"/>
          <w:lang w:val="en-GB" w:eastAsia="en-GB"/>
        </w:rPr>
      </w:pPr>
    </w:p>
    <w:p w:rsidR="004E313F" w:rsidRPr="00EE1916" w:rsidRDefault="00C21DCE" w:rsidP="00A05ADA">
      <w:pPr>
        <w:spacing w:line="360" w:lineRule="auto"/>
        <w:ind w:left="-720"/>
        <w:jc w:val="center"/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</w:pPr>
      <w:r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HALF YEAR</w:t>
      </w:r>
      <w:r w:rsidR="009D76EA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 xml:space="preserve"> </w:t>
      </w:r>
      <w:r w:rsidR="00880F6E" w:rsidRPr="00EE1916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REVENUE PE</w:t>
      </w:r>
      <w:r w:rsidR="00EC34E3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R</w:t>
      </w:r>
      <w:r w:rsidR="00880F6E" w:rsidRPr="00EE1916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 xml:space="preserve">FORMANCE </w:t>
      </w:r>
      <w:r w:rsidR="00826855" w:rsidRPr="00EE1916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 xml:space="preserve">PRESS BRIEF </w:t>
      </w:r>
    </w:p>
    <w:p w:rsidR="007829DC" w:rsidRDefault="00BB5F28" w:rsidP="007829DC">
      <w:pPr>
        <w:spacing w:line="360" w:lineRule="auto"/>
        <w:ind w:left="-720"/>
        <w:jc w:val="center"/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</w:pPr>
      <w:r w:rsidRPr="00EE1916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Period: July</w:t>
      </w:r>
      <w:r w:rsidR="00CD4084" w:rsidRPr="00EE1916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 xml:space="preserve"> </w:t>
      </w:r>
      <w:r w:rsidR="00EE1916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202</w:t>
      </w:r>
      <w:r w:rsidR="00C21DCE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4</w:t>
      </w:r>
      <w:r w:rsidR="009D76EA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 xml:space="preserve"> to </w:t>
      </w:r>
      <w:r w:rsidR="00C21DCE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 xml:space="preserve">Dec </w:t>
      </w:r>
      <w:r w:rsidR="0014386A" w:rsidRPr="00EE1916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202</w:t>
      </w:r>
      <w:r w:rsidR="00C21DCE"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  <w:t>4</w:t>
      </w:r>
    </w:p>
    <w:p w:rsidR="007829DC" w:rsidRDefault="007829DC" w:rsidP="007829DC">
      <w:pPr>
        <w:spacing w:line="360" w:lineRule="auto"/>
        <w:ind w:left="-720"/>
        <w:rPr>
          <w:rFonts w:ascii="Century Gothic" w:eastAsia="Times New Roman" w:hAnsi="Century Gothic" w:cs="Calibri"/>
          <w:b/>
          <w:color w:val="FFFFFF" w:themeColor="background1"/>
          <w:sz w:val="32"/>
          <w:szCs w:val="32"/>
          <w:lang w:val="en-GB" w:eastAsia="en-GB"/>
        </w:rPr>
      </w:pPr>
    </w:p>
    <w:p w:rsidR="007829DC" w:rsidRPr="00AD7042" w:rsidRDefault="009D76EA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lastRenderedPageBreak/>
        <w:t>The Media fraternity</w:t>
      </w:r>
      <w:r w:rsidR="00F62532" w:rsidRPr="00AD7042">
        <w:rPr>
          <w:rFonts w:ascii="Bookman Old Style" w:eastAsia="Times New Roman" w:hAnsi="Bookman Old Style"/>
          <w:bCs/>
          <w:iCs/>
          <w:sz w:val="24"/>
          <w:szCs w:val="24"/>
        </w:rPr>
        <w:t>,</w:t>
      </w:r>
    </w:p>
    <w:p w:rsidR="00F62532" w:rsidRPr="00AD7042" w:rsidRDefault="00F62532" w:rsidP="00165D8D">
      <w:pPr>
        <w:spacing w:line="360" w:lineRule="auto"/>
        <w:ind w:left="-720"/>
        <w:jc w:val="both"/>
        <w:rPr>
          <w:rFonts w:ascii="Bookman Old Style" w:eastAsia="Times New Roman" w:hAnsi="Bookman Old Style" w:cs="Calibri"/>
          <w:b/>
          <w:color w:val="FFFFFF" w:themeColor="background1"/>
          <w:sz w:val="24"/>
          <w:szCs w:val="24"/>
          <w:lang w:val="en-GB" w:eastAsia="en-GB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Senior Management members present,</w:t>
      </w:r>
    </w:p>
    <w:p w:rsidR="007829DC" w:rsidRPr="00AD7042" w:rsidRDefault="007829DC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Staff of URA present</w:t>
      </w:r>
      <w:r w:rsidR="00F62532" w:rsidRPr="00AD7042">
        <w:rPr>
          <w:rFonts w:ascii="Bookman Old Style" w:eastAsia="Times New Roman" w:hAnsi="Bookman Old Style"/>
          <w:bCs/>
          <w:iCs/>
          <w:sz w:val="24"/>
          <w:szCs w:val="24"/>
        </w:rPr>
        <w:t>,</w:t>
      </w:r>
    </w:p>
    <w:p w:rsidR="007829DC" w:rsidRPr="00AD7042" w:rsidRDefault="009D76EA" w:rsidP="00165D8D">
      <w:pPr>
        <w:spacing w:line="360" w:lineRule="auto"/>
        <w:ind w:left="-720"/>
        <w:jc w:val="both"/>
        <w:rPr>
          <w:rFonts w:ascii="Bookman Old Style" w:eastAsia="Times New Roman" w:hAnsi="Bookman Old Style" w:cs="Calibri"/>
          <w:b/>
          <w:color w:val="FFFFFF" w:themeColor="background1"/>
          <w:sz w:val="24"/>
          <w:szCs w:val="24"/>
          <w:lang w:val="en-GB" w:eastAsia="en-GB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Ladies and Gentleman,</w:t>
      </w:r>
    </w:p>
    <w:p w:rsidR="007829DC" w:rsidRPr="00AD7042" w:rsidRDefault="009D76EA" w:rsidP="00165D8D">
      <w:pPr>
        <w:spacing w:line="360" w:lineRule="auto"/>
        <w:ind w:left="-720"/>
        <w:jc w:val="both"/>
        <w:rPr>
          <w:rFonts w:ascii="Bookman Old Style" w:eastAsia="Times New Roman" w:hAnsi="Bookman Old Style" w:cs="Calibri"/>
          <w:b/>
          <w:color w:val="FFFFFF" w:themeColor="background1"/>
          <w:sz w:val="24"/>
          <w:szCs w:val="24"/>
          <w:lang w:val="en-GB" w:eastAsia="en-GB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Good morning,</w:t>
      </w:r>
    </w:p>
    <w:p w:rsidR="00C21DCE" w:rsidRPr="00AD7042" w:rsidRDefault="009D76EA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The purpose of this meeting is to update and </w:t>
      </w:r>
      <w:r w:rsidR="006C19AA" w:rsidRPr="00AD7042">
        <w:rPr>
          <w:rFonts w:ascii="Bookman Old Style" w:eastAsia="Times New Roman" w:hAnsi="Bookman Old Style"/>
          <w:bCs/>
          <w:iCs/>
          <w:sz w:val="24"/>
          <w:szCs w:val="24"/>
        </w:rPr>
        <w:t>account to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the public on the 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Revenue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performance of 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the Half financial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year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period from July 2024 to December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>2024</w:t>
      </w:r>
      <w:r w:rsidR="006C19AA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. </w:t>
      </w:r>
    </w:p>
    <w:p w:rsidR="007829DC" w:rsidRPr="00AD7042" w:rsidRDefault="00C21DCE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A</w:t>
      </w:r>
      <w:r w:rsidR="00776FE9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s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the</w:t>
      </w:r>
      <w:r w:rsidR="006C19AA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T</w:t>
      </w:r>
      <w:r w:rsidR="006C19AA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ax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A</w:t>
      </w:r>
      <w:r w:rsidR="006C19AA" w:rsidRPr="00AD7042">
        <w:rPr>
          <w:rFonts w:ascii="Bookman Old Style" w:eastAsia="Times New Roman" w:hAnsi="Bookman Old Style"/>
          <w:bCs/>
          <w:iCs/>
          <w:sz w:val="24"/>
          <w:szCs w:val="24"/>
        </w:rPr>
        <w:t>dministration</w:t>
      </w:r>
      <w:r w:rsidR="00776FE9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body</w:t>
      </w:r>
      <w:r w:rsidR="006C19AA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, we would want to start by recognizing and appreciating every taxpayer who has contributed their fair share of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Taxes</w:t>
      </w:r>
      <w:r w:rsidR="006C19AA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and has supported the effort of nation building by fulfilling their</w:t>
      </w:r>
      <w:r w:rsidR="007829DC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tax obligations.</w:t>
      </w:r>
    </w:p>
    <w:p w:rsidR="007829DC" w:rsidRPr="00AD7042" w:rsidRDefault="006C19AA" w:rsidP="00165D8D">
      <w:pPr>
        <w:spacing w:line="360" w:lineRule="auto"/>
        <w:ind w:left="-720"/>
        <w:jc w:val="both"/>
        <w:rPr>
          <w:rFonts w:ascii="Bookman Old Style" w:eastAsia="Times New Roman" w:hAnsi="Bookman Old Style" w:cs="Calibri"/>
          <w:b/>
          <w:color w:val="FFFFFF" w:themeColor="background1"/>
          <w:sz w:val="24"/>
          <w:szCs w:val="24"/>
          <w:lang w:val="en-GB" w:eastAsia="en-GB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It is because of those patriotic and faithful citizens that we have been able to come this far as we are going to highlight in the report.</w:t>
      </w:r>
    </w:p>
    <w:p w:rsidR="007829DC" w:rsidRPr="00AD7042" w:rsidRDefault="006C19AA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And it is because of your contribution that government has been able to provide the much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needed social services. We are also doing all we can as URA to support the businesses so that they can remain afloat as they contrib</w:t>
      </w:r>
      <w:r w:rsidR="007829DC" w:rsidRPr="00AD7042">
        <w:rPr>
          <w:rFonts w:ascii="Bookman Old Style" w:eastAsia="Times New Roman" w:hAnsi="Bookman Old Style"/>
          <w:bCs/>
          <w:iCs/>
          <w:sz w:val="24"/>
          <w:szCs w:val="24"/>
        </w:rPr>
        <w:t>ute their fair share</w:t>
      </w:r>
      <w:r w:rsidR="00F31510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</w:t>
      </w:r>
      <w:r w:rsidR="00C92FC6" w:rsidRPr="00AD7042">
        <w:rPr>
          <w:rFonts w:ascii="Bookman Old Style" w:eastAsia="Times New Roman" w:hAnsi="Bookman Old Style"/>
          <w:bCs/>
          <w:iCs/>
          <w:sz w:val="24"/>
          <w:szCs w:val="24"/>
        </w:rPr>
        <w:t>towards</w:t>
      </w:r>
      <w:r w:rsidR="00776FE9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national development</w:t>
      </w:r>
      <w:r w:rsidR="007829DC" w:rsidRPr="00AD7042">
        <w:rPr>
          <w:rFonts w:ascii="Bookman Old Style" w:eastAsia="Times New Roman" w:hAnsi="Bookman Old Style"/>
          <w:bCs/>
          <w:iCs/>
          <w:sz w:val="24"/>
          <w:szCs w:val="24"/>
        </w:rPr>
        <w:t>.</w:t>
      </w:r>
    </w:p>
    <w:p w:rsidR="00AD1CEC" w:rsidRDefault="00EE1195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I now take the opportunity to walk you through this 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>Half year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press brief to bring to your attention the factors that explain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our Half 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year </w:t>
      </w:r>
      <w:r w:rsidR="00776FE9" w:rsidRPr="00AD7042">
        <w:rPr>
          <w:rFonts w:ascii="Bookman Old Style" w:eastAsia="Times New Roman" w:hAnsi="Bookman Old Style"/>
          <w:bCs/>
          <w:iCs/>
          <w:sz w:val="24"/>
          <w:szCs w:val="24"/>
        </w:rPr>
        <w:t>- excellent revenue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collection performance, the administrative and policy interventions executed during 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>–</w:t>
      </w:r>
      <w:r w:rsidR="00776FE9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th</w:t>
      </w:r>
      <w:r w:rsidR="00C21DCE" w:rsidRPr="00AD7042">
        <w:rPr>
          <w:rFonts w:ascii="Bookman Old Style" w:eastAsia="Times New Roman" w:hAnsi="Bookman Old Style"/>
          <w:bCs/>
          <w:iCs/>
          <w:sz w:val="24"/>
          <w:szCs w:val="24"/>
        </w:rPr>
        <w:t>is period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.</w:t>
      </w: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7042" w:rsidRP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771C9E" w:rsidRPr="00AD7042" w:rsidRDefault="00FA3CEC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/>
          <w:b/>
          <w:bCs/>
          <w:iCs/>
          <w:sz w:val="24"/>
          <w:szCs w:val="24"/>
        </w:rPr>
        <w:lastRenderedPageBreak/>
        <w:t>Performance</w:t>
      </w:r>
      <w:r w:rsidR="00D5729F" w:rsidRPr="00AD7042">
        <w:rPr>
          <w:rFonts w:ascii="Bookman Old Style" w:eastAsia="Times New Roman" w:hAnsi="Bookman Old Style"/>
          <w:b/>
          <w:bCs/>
          <w:iCs/>
          <w:sz w:val="24"/>
          <w:szCs w:val="24"/>
        </w:rPr>
        <w:t xml:space="preserve"> </w:t>
      </w:r>
      <w:r w:rsidRPr="00AD7042">
        <w:rPr>
          <w:rFonts w:ascii="Bookman Old Style" w:eastAsia="Times New Roman" w:hAnsi="Bookman Old Style"/>
          <w:b/>
          <w:bCs/>
          <w:iCs/>
          <w:sz w:val="24"/>
          <w:szCs w:val="24"/>
        </w:rPr>
        <w:t>Overvie</w:t>
      </w:r>
      <w:r w:rsidR="00771C9E" w:rsidRPr="00AD7042">
        <w:rPr>
          <w:rFonts w:ascii="Bookman Old Style" w:eastAsia="Times New Roman" w:hAnsi="Bookman Old Style"/>
          <w:b/>
          <w:bCs/>
          <w:iCs/>
          <w:sz w:val="24"/>
          <w:szCs w:val="24"/>
        </w:rPr>
        <w:t>w</w:t>
      </w:r>
    </w:p>
    <w:p w:rsidR="00783187" w:rsidRPr="00AD7042" w:rsidRDefault="006A60B7" w:rsidP="00783187">
      <w:pPr>
        <w:spacing w:line="360" w:lineRule="auto"/>
        <w:ind w:left="-72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For the </w:t>
      </w:r>
      <w:r w:rsidR="003037FF" w:rsidRPr="00AD7042">
        <w:rPr>
          <w:rFonts w:ascii="Bookman Old Style" w:eastAsia="Times New Roman" w:hAnsi="Bookman Old Style"/>
          <w:bCs/>
          <w:iCs/>
          <w:sz w:val="24"/>
          <w:szCs w:val="24"/>
        </w:rPr>
        <w:t>- FY</w:t>
      </w:r>
      <w:r w:rsidR="00AD1CEC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202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4</w:t>
      </w:r>
      <w:r w:rsidR="00AD1CEC" w:rsidRPr="00AD7042">
        <w:rPr>
          <w:rFonts w:ascii="Bookman Old Style" w:eastAsia="Times New Roman" w:hAnsi="Bookman Old Style"/>
          <w:bCs/>
          <w:iCs/>
          <w:sz w:val="24"/>
          <w:szCs w:val="24"/>
        </w:rPr>
        <w:t>/2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>5</w:t>
      </w:r>
      <w:r w:rsidR="00AD1CEC"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, URA was given a net revenue target of </w:t>
      </w:r>
      <w:r w:rsidR="00AD1CEC" w:rsidRPr="00AD7042">
        <w:rPr>
          <w:rFonts w:ascii="Bookman Old Style" w:eastAsia="Times New Roman" w:hAnsi="Bookman Old Style"/>
          <w:b/>
          <w:bCs/>
          <w:iCs/>
          <w:sz w:val="24"/>
          <w:szCs w:val="24"/>
        </w:rPr>
        <w:t xml:space="preserve">UGX </w:t>
      </w:r>
      <w:r w:rsidR="00213313" w:rsidRPr="00AD7042">
        <w:rPr>
          <w:rFonts w:ascii="Bookman Old Style" w:eastAsia="Times New Roman" w:hAnsi="Bookman Old Style" w:cs="Arial"/>
          <w:b/>
          <w:sz w:val="24"/>
          <w:szCs w:val="24"/>
        </w:rPr>
        <w:t>31,369.16</w:t>
      </w:r>
      <w:r w:rsidR="00AD1CEC" w:rsidRPr="00AD7042">
        <w:rPr>
          <w:rFonts w:ascii="Bookman Old Style" w:eastAsia="Times New Roman" w:hAnsi="Bookman Old Style" w:cs="Arial"/>
          <w:b/>
          <w:sz w:val="24"/>
          <w:szCs w:val="24"/>
        </w:rPr>
        <w:t xml:space="preserve"> billion</w:t>
      </w:r>
      <w:r w:rsidR="00783187" w:rsidRPr="00AD7042">
        <w:rPr>
          <w:rFonts w:ascii="Bookman Old Style" w:eastAsia="Times New Roman" w:hAnsi="Bookman Old Style" w:cs="Arial"/>
          <w:sz w:val="24"/>
          <w:szCs w:val="24"/>
        </w:rPr>
        <w:t xml:space="preserve">, of this </w:t>
      </w:r>
      <w:r w:rsidR="00783187" w:rsidRPr="00AD7042">
        <w:rPr>
          <w:rFonts w:ascii="Bookman Old Style" w:eastAsia="Times New Roman" w:hAnsi="Bookman Old Style" w:cs="Arial"/>
          <w:b/>
          <w:sz w:val="24"/>
          <w:szCs w:val="24"/>
        </w:rPr>
        <w:t>48%</w:t>
      </w:r>
      <w:r w:rsidR="00783187" w:rsidRPr="00AD7042">
        <w:rPr>
          <w:rFonts w:ascii="Bookman Old Style" w:eastAsia="Times New Roman" w:hAnsi="Bookman Old Style" w:cs="Arial"/>
          <w:sz w:val="24"/>
          <w:szCs w:val="24"/>
        </w:rPr>
        <w:t xml:space="preserve"> that is </w:t>
      </w:r>
      <w:r w:rsidR="00783187" w:rsidRPr="00AD7042">
        <w:rPr>
          <w:rFonts w:ascii="Bookman Old Style" w:eastAsiaTheme="minorEastAsia" w:hAnsi="Bookman Old Style" w:cs="Arial"/>
          <w:b/>
          <w:sz w:val="24"/>
          <w:szCs w:val="24"/>
        </w:rPr>
        <w:t>UGX 14,926.85</w:t>
      </w:r>
      <w:r w:rsidR="00783187" w:rsidRPr="00AD7042">
        <w:rPr>
          <w:rFonts w:ascii="Bookman Old Style" w:eastAsiaTheme="minorEastAsia" w:hAnsi="Bookman Old Style" w:cs="Arial"/>
          <w:sz w:val="24"/>
          <w:szCs w:val="24"/>
        </w:rPr>
        <w:t xml:space="preserve"> billion, was to be collected in the period July – Dec 2024 and</w:t>
      </w:r>
      <w:r w:rsidR="00BA61CC" w:rsidRPr="00AD7042">
        <w:rPr>
          <w:rFonts w:ascii="Bookman Old Style" w:eastAsiaTheme="minorEastAsia" w:hAnsi="Bookman Old Style" w:cs="Arial"/>
          <w:sz w:val="24"/>
          <w:szCs w:val="24"/>
        </w:rPr>
        <w:t xml:space="preserve"> 52% of the target, that </w:t>
      </w:r>
      <w:proofErr w:type="gramStart"/>
      <w:r w:rsidR="00BA61CC" w:rsidRPr="00AD7042">
        <w:rPr>
          <w:rFonts w:ascii="Bookman Old Style" w:eastAsiaTheme="minorEastAsia" w:hAnsi="Bookman Old Style" w:cs="Arial"/>
          <w:sz w:val="24"/>
          <w:szCs w:val="24"/>
        </w:rPr>
        <w:t xml:space="preserve">is  </w:t>
      </w:r>
      <w:r w:rsidR="00783187" w:rsidRPr="00AD7042">
        <w:rPr>
          <w:rFonts w:ascii="Bookman Old Style" w:eastAsiaTheme="minorEastAsia" w:hAnsi="Bookman Old Style" w:cs="Arial"/>
          <w:b/>
          <w:sz w:val="24"/>
          <w:szCs w:val="24"/>
        </w:rPr>
        <w:t>UGX</w:t>
      </w:r>
      <w:proofErr w:type="gramEnd"/>
      <w:r w:rsidR="00783187" w:rsidRPr="00AD7042">
        <w:rPr>
          <w:rFonts w:ascii="Bookman Old Style" w:eastAsiaTheme="minorEastAsia" w:hAnsi="Bookman Old Style" w:cs="Arial"/>
          <w:b/>
          <w:sz w:val="24"/>
          <w:szCs w:val="24"/>
        </w:rPr>
        <w:t>16,</w:t>
      </w:r>
      <w:r w:rsidR="00213313" w:rsidRPr="00AD7042">
        <w:rPr>
          <w:rFonts w:ascii="Bookman Old Style" w:eastAsiaTheme="minorEastAsia" w:hAnsi="Bookman Old Style" w:cs="Arial"/>
          <w:b/>
          <w:sz w:val="24"/>
          <w:szCs w:val="24"/>
        </w:rPr>
        <w:t>442</w:t>
      </w:r>
      <w:r w:rsidR="00783187" w:rsidRPr="00AD7042">
        <w:rPr>
          <w:rFonts w:ascii="Bookman Old Style" w:eastAsiaTheme="minorEastAsia" w:hAnsi="Bookman Old Style" w:cs="Arial"/>
          <w:b/>
          <w:sz w:val="24"/>
          <w:szCs w:val="24"/>
        </w:rPr>
        <w:t>.</w:t>
      </w:r>
      <w:r w:rsidR="00213313" w:rsidRPr="00AD7042">
        <w:rPr>
          <w:rFonts w:ascii="Bookman Old Style" w:eastAsiaTheme="minorEastAsia" w:hAnsi="Bookman Old Style" w:cs="Arial"/>
          <w:b/>
          <w:sz w:val="24"/>
          <w:szCs w:val="24"/>
        </w:rPr>
        <w:t>32</w:t>
      </w:r>
      <w:r w:rsidR="00783187" w:rsidRPr="00AD7042">
        <w:rPr>
          <w:rFonts w:ascii="Bookman Old Style" w:eastAsiaTheme="minorEastAsia" w:hAnsi="Bookman Old Style" w:cs="Arial"/>
          <w:b/>
          <w:sz w:val="24"/>
          <w:szCs w:val="24"/>
        </w:rPr>
        <w:t xml:space="preserve"> billion</w:t>
      </w:r>
      <w:r w:rsidR="00783187" w:rsidRPr="00AD7042">
        <w:rPr>
          <w:rFonts w:ascii="Bookman Old Style" w:eastAsia="Times New Roman" w:hAnsi="Bookman Old Style" w:cs="Arial"/>
          <w:sz w:val="24"/>
          <w:szCs w:val="24"/>
        </w:rPr>
        <w:t xml:space="preserve"> is to be collected in the second half that is the period Jan -June 2025.</w:t>
      </w:r>
    </w:p>
    <w:p w:rsidR="004874DD" w:rsidRPr="00AD7042" w:rsidRDefault="00AD1CEC" w:rsidP="00783187">
      <w:pPr>
        <w:spacing w:line="360" w:lineRule="auto"/>
        <w:ind w:left="-720"/>
        <w:jc w:val="both"/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</w:pP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The net revenue collections for </w:t>
      </w:r>
      <w:r w:rsidR="00783187" w:rsidRPr="00AD7042">
        <w:rPr>
          <w:rFonts w:ascii="Bookman Old Style" w:eastAsia="Times New Roman" w:hAnsi="Bookman Old Style"/>
          <w:bCs/>
          <w:iCs/>
          <w:sz w:val="24"/>
          <w:szCs w:val="24"/>
        </w:rPr>
        <w:t>the Half year, that is the period July 2024 -Dec 2024</w:t>
      </w:r>
      <w:r w:rsidRPr="00AD7042">
        <w:rPr>
          <w:rFonts w:ascii="Bookman Old Style" w:eastAsia="Times New Roman" w:hAnsi="Bookman Old Style"/>
          <w:bCs/>
          <w:iCs/>
          <w:sz w:val="24"/>
          <w:szCs w:val="24"/>
        </w:rPr>
        <w:t xml:space="preserve"> were </w:t>
      </w:r>
      <w:r w:rsidRPr="00AD7042">
        <w:rPr>
          <w:rFonts w:ascii="Bookman Old Style" w:eastAsia="Times New Roman" w:hAnsi="Bookman Old Style"/>
          <w:bCs/>
          <w:iCs/>
          <w:color w:val="000000" w:themeColor="text1"/>
          <w:sz w:val="24"/>
          <w:szCs w:val="24"/>
        </w:rPr>
        <w:t xml:space="preserve">UGX </w:t>
      </w:r>
      <w:r w:rsidR="00783187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>15,2</w:t>
      </w:r>
      <w:r w:rsidR="008F5645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>48</w:t>
      </w:r>
      <w:r w:rsidR="00783187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>.</w:t>
      </w:r>
      <w:r w:rsidR="008F5645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>99</w:t>
      </w:r>
      <w:r w:rsidR="00783187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 xml:space="preserve"> billion</w:t>
      </w:r>
      <w:r w:rsidR="00783187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 xml:space="preserve"> against a target of UGX </w:t>
      </w:r>
      <w:r w:rsidR="00783187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>14,926.85 billion</w:t>
      </w:r>
      <w:r w:rsidR="00783187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, registering a notable surplus of UGX</w:t>
      </w:r>
      <w:r w:rsidR="00783187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 xml:space="preserve"> </w:t>
      </w:r>
      <w:r w:rsidR="00BA61CC" w:rsidRPr="00AD7042">
        <w:rPr>
          <w:rFonts w:ascii="Bookman Old Style" w:eastAsiaTheme="minorEastAsia" w:hAnsi="Bookman Old Style" w:cs="Arial"/>
          <w:b/>
          <w:color w:val="000000" w:themeColor="text1"/>
          <w:sz w:val="24"/>
          <w:szCs w:val="24"/>
        </w:rPr>
        <w:t>322</w:t>
      </w:r>
      <w:r w:rsidR="00783187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 xml:space="preserve"> billion and a performance rate of 10</w:t>
      </w:r>
      <w:r w:rsidR="008F5645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2</w:t>
      </w:r>
      <w:r w:rsidR="00783187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.</w:t>
      </w:r>
      <w:r w:rsidR="008F5645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16</w:t>
      </w:r>
      <w:r w:rsidR="00783187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 xml:space="preserve"> percent. </w:t>
      </w:r>
    </w:p>
    <w:p w:rsidR="00783187" w:rsidRPr="00AD7042" w:rsidRDefault="00783187" w:rsidP="00783187">
      <w:pPr>
        <w:spacing w:line="360" w:lineRule="auto"/>
        <w:ind w:left="-72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r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A growth in net revenue of UGX 2,</w:t>
      </w:r>
      <w:r w:rsidR="008F5645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112</w:t>
      </w:r>
      <w:r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.</w:t>
      </w:r>
      <w:r w:rsidR="008F5645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25</w:t>
      </w:r>
      <w:r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 xml:space="preserve"> billion (1</w:t>
      </w:r>
      <w:r w:rsidR="008F5645"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>6.08</w:t>
      </w:r>
      <w:r w:rsidRPr="00AD7042">
        <w:rPr>
          <w:rFonts w:ascii="Bookman Old Style" w:eastAsiaTheme="minorEastAsia" w:hAnsi="Bookman Old Style" w:cs="Arial"/>
          <w:color w:val="000000" w:themeColor="text1"/>
          <w:sz w:val="24"/>
          <w:szCs w:val="24"/>
        </w:rPr>
        <w:t xml:space="preserve"> percent) was registered in July to December FY 2024/25 compared to July to December FY 2023/24. </w:t>
      </w:r>
    </w:p>
    <w:tbl>
      <w:tblPr>
        <w:tblStyle w:val="GridTable4-Accent11111"/>
        <w:tblW w:w="96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977"/>
        <w:gridCol w:w="2126"/>
        <w:gridCol w:w="2201"/>
      </w:tblGrid>
      <w:tr w:rsidR="00AD7042" w:rsidRPr="00AD7042" w:rsidTr="00DF3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shd w:val="clear" w:color="auto" w:fill="auto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color w:val="000000" w:themeColor="text1"/>
              </w:rPr>
            </w:pPr>
            <w:bookmarkStart w:id="0" w:name="_Toc140348551"/>
            <w:r w:rsidRPr="00AD7042">
              <w:rPr>
                <w:rFonts w:ascii="Bookman Old Style" w:hAnsi="Bookman Old Style" w:cs="Arial"/>
                <w:color w:val="000000" w:themeColor="text1"/>
              </w:rPr>
              <w:t>Tax Head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Category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December-2024</w:t>
            </w:r>
          </w:p>
        </w:tc>
        <w:tc>
          <w:tcPr>
            <w:tcW w:w="2201" w:type="dxa"/>
            <w:shd w:val="clear" w:color="auto" w:fill="auto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July – December FY 2024/25</w:t>
            </w:r>
          </w:p>
        </w:tc>
      </w:tr>
      <w:tr w:rsidR="00AD7042" w:rsidRPr="00AD7042" w:rsidTr="00DF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b w:val="0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 xml:space="preserve">Net Revenue </w:t>
            </w:r>
          </w:p>
        </w:tc>
        <w:tc>
          <w:tcPr>
            <w:tcW w:w="2977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Target (UGX Bn)</w:t>
            </w:r>
          </w:p>
        </w:tc>
        <w:tc>
          <w:tcPr>
            <w:tcW w:w="2126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3,479.83</w:t>
            </w:r>
          </w:p>
        </w:tc>
        <w:tc>
          <w:tcPr>
            <w:tcW w:w="2201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14,926.85</w:t>
            </w:r>
          </w:p>
        </w:tc>
      </w:tr>
      <w:tr w:rsidR="00AD7042" w:rsidRPr="00AD7042" w:rsidTr="00DF3B4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b w:val="0"/>
                <w:color w:val="000000" w:themeColor="text1"/>
              </w:rPr>
            </w:pPr>
          </w:p>
        </w:tc>
        <w:tc>
          <w:tcPr>
            <w:tcW w:w="2977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Actual (UGX Bn)</w:t>
            </w:r>
          </w:p>
        </w:tc>
        <w:tc>
          <w:tcPr>
            <w:tcW w:w="2126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3,743.41</w:t>
            </w:r>
          </w:p>
        </w:tc>
        <w:tc>
          <w:tcPr>
            <w:tcW w:w="2201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15,248.99</w:t>
            </w:r>
          </w:p>
        </w:tc>
      </w:tr>
      <w:tr w:rsidR="00AD7042" w:rsidRPr="00AD7042" w:rsidTr="00DF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b w:val="0"/>
                <w:color w:val="000000" w:themeColor="text1"/>
              </w:rPr>
            </w:pPr>
          </w:p>
        </w:tc>
        <w:tc>
          <w:tcPr>
            <w:tcW w:w="2977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Variance (UGX Bn)</w:t>
            </w:r>
          </w:p>
        </w:tc>
        <w:tc>
          <w:tcPr>
            <w:tcW w:w="2126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263.58</w:t>
            </w:r>
          </w:p>
        </w:tc>
        <w:tc>
          <w:tcPr>
            <w:tcW w:w="2201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322.14</w:t>
            </w:r>
          </w:p>
        </w:tc>
      </w:tr>
      <w:tr w:rsidR="00AD7042" w:rsidRPr="00AD7042" w:rsidTr="00DF3B4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b w:val="0"/>
                <w:color w:val="000000" w:themeColor="text1"/>
              </w:rPr>
            </w:pPr>
          </w:p>
        </w:tc>
        <w:tc>
          <w:tcPr>
            <w:tcW w:w="2977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Achievement rate (%)</w:t>
            </w:r>
          </w:p>
        </w:tc>
        <w:tc>
          <w:tcPr>
            <w:tcW w:w="2126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107.57%</w:t>
            </w:r>
          </w:p>
        </w:tc>
        <w:tc>
          <w:tcPr>
            <w:tcW w:w="2201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102.16%</w:t>
            </w:r>
          </w:p>
        </w:tc>
      </w:tr>
      <w:tr w:rsidR="00AD7042" w:rsidRPr="00AD7042" w:rsidTr="00DF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b w:val="0"/>
                <w:color w:val="000000" w:themeColor="text1"/>
              </w:rPr>
            </w:pPr>
          </w:p>
        </w:tc>
        <w:tc>
          <w:tcPr>
            <w:tcW w:w="2977" w:type="dxa"/>
            <w:noWrap/>
          </w:tcPr>
          <w:p w:rsidR="00AD7042" w:rsidRPr="00AD7042" w:rsidRDefault="00AD7042" w:rsidP="00DF3B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Growth/Decline (%)</w:t>
            </w:r>
          </w:p>
        </w:tc>
        <w:tc>
          <w:tcPr>
            <w:tcW w:w="2126" w:type="dxa"/>
            <w:noWrap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23.69%</w:t>
            </w:r>
          </w:p>
        </w:tc>
        <w:tc>
          <w:tcPr>
            <w:tcW w:w="2201" w:type="dxa"/>
            <w:noWrap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16.08%</w:t>
            </w:r>
          </w:p>
        </w:tc>
      </w:tr>
      <w:tr w:rsidR="00AD7042" w:rsidRPr="00AD7042" w:rsidTr="00DF3B4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b w:val="0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Tax Refunds</w:t>
            </w:r>
          </w:p>
        </w:tc>
        <w:tc>
          <w:tcPr>
            <w:tcW w:w="2977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Expected tax refund (UGX Bn)</w:t>
            </w:r>
          </w:p>
        </w:tc>
        <w:tc>
          <w:tcPr>
            <w:tcW w:w="2126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(67.06)</w:t>
            </w:r>
          </w:p>
        </w:tc>
        <w:tc>
          <w:tcPr>
            <w:tcW w:w="2201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(402.38)</w:t>
            </w:r>
          </w:p>
        </w:tc>
      </w:tr>
      <w:tr w:rsidR="00AD7042" w:rsidRPr="00AD7042" w:rsidTr="00DF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977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Actual tax refund (UGX Bn)</w:t>
            </w:r>
          </w:p>
        </w:tc>
        <w:tc>
          <w:tcPr>
            <w:tcW w:w="2126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(90.51)</w:t>
            </w:r>
          </w:p>
        </w:tc>
        <w:tc>
          <w:tcPr>
            <w:tcW w:w="2201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(346.37)</w:t>
            </w:r>
          </w:p>
        </w:tc>
      </w:tr>
      <w:tr w:rsidR="00AD7042" w:rsidRPr="00AD7042" w:rsidTr="00DF3B4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977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color w:val="000000" w:themeColor="text1"/>
              </w:rPr>
              <w:t>Variance (UGX Bn)</w:t>
            </w:r>
          </w:p>
        </w:tc>
        <w:tc>
          <w:tcPr>
            <w:tcW w:w="2126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(23.45)</w:t>
            </w:r>
          </w:p>
        </w:tc>
        <w:tc>
          <w:tcPr>
            <w:tcW w:w="2201" w:type="dxa"/>
            <w:noWrap/>
            <w:hideMark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56.00</w:t>
            </w:r>
          </w:p>
        </w:tc>
      </w:tr>
      <w:tr w:rsidR="00AD7042" w:rsidRPr="00AD7042" w:rsidTr="00DF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noWrap/>
          </w:tcPr>
          <w:p w:rsidR="00AD7042" w:rsidRPr="00AD7042" w:rsidRDefault="00AD7042" w:rsidP="00DF3B4F">
            <w:pPr>
              <w:spacing w:after="0" w:line="240" w:lineRule="auto"/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2977" w:type="dxa"/>
            <w:noWrap/>
          </w:tcPr>
          <w:p w:rsidR="00AD7042" w:rsidRPr="00AD7042" w:rsidRDefault="00AD7042" w:rsidP="00DF3B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Achievement rate (%)</w:t>
            </w:r>
          </w:p>
        </w:tc>
        <w:tc>
          <w:tcPr>
            <w:tcW w:w="2126" w:type="dxa"/>
            <w:noWrap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134.96%</w:t>
            </w:r>
          </w:p>
        </w:tc>
        <w:tc>
          <w:tcPr>
            <w:tcW w:w="2201" w:type="dxa"/>
            <w:noWrap/>
          </w:tcPr>
          <w:p w:rsidR="00AD7042" w:rsidRPr="00AD7042" w:rsidRDefault="00AD7042" w:rsidP="00DF3B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color w:val="000000" w:themeColor="text1"/>
              </w:rPr>
            </w:pPr>
            <w:r w:rsidRPr="00AD7042">
              <w:rPr>
                <w:rFonts w:ascii="Bookman Old Style" w:hAnsi="Bookman Old Style" w:cs="Arial"/>
                <w:b/>
                <w:color w:val="000000" w:themeColor="text1"/>
              </w:rPr>
              <w:t>86.08%</w:t>
            </w:r>
          </w:p>
        </w:tc>
      </w:tr>
    </w:tbl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</w:p>
    <w:p w:rsidR="004D2387" w:rsidRPr="00AD7042" w:rsidRDefault="004F0FA3" w:rsidP="00165D8D">
      <w:pPr>
        <w:spacing w:line="360" w:lineRule="auto"/>
        <w:ind w:left="-720"/>
        <w:jc w:val="both"/>
        <w:rPr>
          <w:rFonts w:ascii="Bookman Old Style" w:hAnsi="Bookman Old Style"/>
          <w:bCs/>
          <w:sz w:val="24"/>
          <w:szCs w:val="24"/>
        </w:rPr>
      </w:pPr>
      <w:r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This performance was as a result of stable and resilient economic performance </w:t>
      </w:r>
      <w:r w:rsidR="004D2387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and </w:t>
      </w:r>
      <w:r w:rsidR="004D2387" w:rsidRPr="00AD7042">
        <w:rPr>
          <w:rFonts w:ascii="Bookman Old Style" w:hAnsi="Bookman Old Style"/>
          <w:bCs/>
          <w:sz w:val="24"/>
          <w:szCs w:val="24"/>
        </w:rPr>
        <w:t>enhanced administrative measures</w:t>
      </w:r>
      <w:r w:rsidR="001A6ED3" w:rsidRPr="00AD7042">
        <w:rPr>
          <w:rFonts w:ascii="Bookman Old Style" w:hAnsi="Bookman Old Style"/>
          <w:bCs/>
          <w:sz w:val="24"/>
          <w:szCs w:val="24"/>
        </w:rPr>
        <w:t xml:space="preserve"> as well good cooperation of our patriotic tax payers</w:t>
      </w:r>
      <w:r w:rsidR="00771C9E" w:rsidRPr="00AD7042">
        <w:rPr>
          <w:rFonts w:ascii="Bookman Old Style" w:hAnsi="Bookman Old Style"/>
          <w:bCs/>
          <w:sz w:val="24"/>
          <w:szCs w:val="24"/>
        </w:rPr>
        <w:t>.</w:t>
      </w: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val="en-GB" w:eastAsia="en-GB"/>
        </w:rPr>
      </w:pP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val="en-GB" w:eastAsia="en-GB"/>
        </w:rPr>
      </w:pP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val="en-GB" w:eastAsia="en-GB"/>
        </w:rPr>
      </w:pPr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bCs/>
          <w:color w:val="FF0000"/>
          <w:sz w:val="24"/>
          <w:szCs w:val="24"/>
          <w:lang w:val="en-GB" w:eastAsia="en-GB"/>
        </w:rPr>
      </w:pPr>
    </w:p>
    <w:p w:rsidR="004F0FA3" w:rsidRPr="00500E84" w:rsidRDefault="00786023" w:rsidP="00500E84">
      <w:pPr>
        <w:spacing w:line="360" w:lineRule="auto"/>
        <w:ind w:left="-72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r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lastRenderedPageBreak/>
        <w:t xml:space="preserve">Figure </w:t>
      </w:r>
      <w:r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fldChar w:fldCharType="begin"/>
      </w:r>
      <w:r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instrText xml:space="preserve"> SEQ Figure \* ARABIC </w:instrText>
      </w:r>
      <w:r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fldChar w:fldCharType="separate"/>
      </w:r>
      <w:r w:rsidRPr="00500E84">
        <w:rPr>
          <w:rFonts w:ascii="Bookman Old Style" w:eastAsia="Times New Roman" w:hAnsi="Bookman Old Style" w:cs="Arial"/>
          <w:b/>
          <w:bCs/>
          <w:noProof/>
          <w:color w:val="000000" w:themeColor="text1"/>
          <w:sz w:val="24"/>
          <w:szCs w:val="24"/>
          <w:lang w:val="en-GB" w:eastAsia="en-GB"/>
        </w:rPr>
        <w:t>1</w:t>
      </w:r>
      <w:r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fldChar w:fldCharType="end"/>
      </w:r>
      <w:r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t xml:space="preserve">: </w:t>
      </w:r>
      <w:r w:rsidR="004874DD"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t xml:space="preserve">Half year </w:t>
      </w:r>
      <w:r w:rsidRPr="00500E84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  <w:t xml:space="preserve"> Trend Analysis of Net Revenue Performance</w:t>
      </w:r>
      <w:bookmarkEnd w:id="0"/>
    </w:p>
    <w:p w:rsidR="00500E84" w:rsidRPr="00500E84" w:rsidRDefault="00500E84" w:rsidP="00500E84">
      <w:pPr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00E84" w:rsidRPr="00500E84" w:rsidTr="00500E84">
        <w:trPr>
          <w:trHeight w:val="300"/>
        </w:trPr>
        <w:tc>
          <w:tcPr>
            <w:tcW w:w="9600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/>
              </w:rPr>
            </w:pPr>
            <w:r w:rsidRPr="00115FF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FDE721D" wp14:editId="63CC72F0">
                  <wp:simplePos x="0" y="0"/>
                  <wp:positionH relativeFrom="column">
                    <wp:posOffset>-373380</wp:posOffset>
                  </wp:positionH>
                  <wp:positionV relativeFrom="paragraph">
                    <wp:posOffset>19050</wp:posOffset>
                  </wp:positionV>
                  <wp:extent cx="6256020" cy="2583180"/>
                  <wp:effectExtent l="0" t="0" r="11430" b="7620"/>
                  <wp:wrapNone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FB47B3-6D35-45B0-9B56-4DA1A9716F2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E84" w:rsidRPr="00500E84" w:rsidTr="00500E84">
        <w:trPr>
          <w:trHeight w:val="312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  <w:tr w:rsidR="00500E84" w:rsidRPr="00500E84" w:rsidTr="00500E84">
        <w:trPr>
          <w:trHeight w:val="264"/>
        </w:trPr>
        <w:tc>
          <w:tcPr>
            <w:tcW w:w="90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0E84" w:rsidRPr="00500E84" w:rsidRDefault="00500E84" w:rsidP="00500E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</w:p>
        </w:tc>
      </w:tr>
    </w:tbl>
    <w:p w:rsidR="00500E84" w:rsidRPr="00500E84" w:rsidRDefault="00500E84" w:rsidP="00500E84">
      <w:pPr>
        <w:shd w:val="clear" w:color="auto" w:fill="FFFFFF"/>
        <w:spacing w:after="0" w:line="240" w:lineRule="auto"/>
        <w:rPr>
          <w:rFonts w:eastAsia="Times New Roman" w:cs="Calibri"/>
          <w:color w:val="000000"/>
          <w:lang/>
        </w:rPr>
      </w:pPr>
      <w:r w:rsidRPr="00500E84">
        <w:rPr>
          <w:rFonts w:eastAsia="Times New Roman" w:cs="Calibri"/>
          <w:color w:val="000000"/>
          <w:lang/>
        </w:rPr>
        <w:t> </w:t>
      </w:r>
    </w:p>
    <w:p w:rsidR="009D095D" w:rsidRPr="00AD7042" w:rsidRDefault="009D095D" w:rsidP="00634AAB">
      <w:pPr>
        <w:spacing w:line="360" w:lineRule="auto"/>
        <w:ind w:left="-720"/>
        <w:jc w:val="both"/>
        <w:rPr>
          <w:rFonts w:ascii="Bookman Old Style" w:hAnsi="Bookman Old Style"/>
          <w:b/>
          <w:sz w:val="24"/>
          <w:szCs w:val="24"/>
        </w:rPr>
      </w:pPr>
    </w:p>
    <w:p w:rsidR="00634AAB" w:rsidRPr="00AD7042" w:rsidRDefault="004D2387" w:rsidP="00634AAB">
      <w:pPr>
        <w:spacing w:line="360" w:lineRule="auto"/>
        <w:ind w:left="-720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AD7042">
        <w:rPr>
          <w:rFonts w:ascii="Bookman Old Style" w:hAnsi="Bookman Old Style"/>
          <w:b/>
          <w:sz w:val="24"/>
          <w:szCs w:val="24"/>
        </w:rPr>
        <w:t>Domestic tax revenue collection:</w:t>
      </w:r>
      <w:r w:rsidRPr="00AD704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:rsidR="00634AAB" w:rsidRPr="00AD7042" w:rsidRDefault="00634AAB" w:rsidP="00634AAB">
      <w:pPr>
        <w:spacing w:line="360" w:lineRule="auto"/>
        <w:ind w:left="-720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AD7042">
        <w:rPr>
          <w:rFonts w:ascii="Bookman Old Style" w:hAnsi="Bookman Old Style"/>
          <w:sz w:val="24"/>
          <w:szCs w:val="24"/>
        </w:rPr>
        <w:t xml:space="preserve"> </w:t>
      </w:r>
      <w:r w:rsidRPr="00AD7042">
        <w:rPr>
          <w:rFonts w:ascii="Bookman Old Style" w:eastAsiaTheme="minorEastAsia" w:hAnsi="Bookman Old Style" w:cs="Arial"/>
          <w:sz w:val="24"/>
          <w:szCs w:val="24"/>
        </w:rPr>
        <w:t xml:space="preserve">The domestic revenue collection for July to December </w:t>
      </w:r>
      <w:r w:rsidR="00BA61CC" w:rsidRPr="00AD7042">
        <w:rPr>
          <w:rFonts w:ascii="Bookman Old Style" w:eastAsiaTheme="minorEastAsia" w:hAnsi="Bookman Old Style" w:cs="Arial"/>
          <w:sz w:val="24"/>
          <w:szCs w:val="24"/>
        </w:rPr>
        <w:t xml:space="preserve">2024 </w:t>
      </w:r>
      <w:r w:rsidRPr="00AD7042">
        <w:rPr>
          <w:rFonts w:ascii="Bookman Old Style" w:eastAsiaTheme="minorEastAsia" w:hAnsi="Bookman Old Style" w:cs="Arial"/>
          <w:sz w:val="24"/>
          <w:szCs w:val="24"/>
        </w:rPr>
        <w:t xml:space="preserve">was UGX 10,131.57 billion against a target of UGX 9,874.50 billion, registering a surplus of UGX 257.06 billion and a performance rate of 102.60 percent. A growth of UGX 1,322.57 billion (15.01 percent) was registered in July to December FY 2024/25 compared to July to December FY 2023/24. </w:t>
      </w:r>
    </w:p>
    <w:p w:rsidR="009C28C1" w:rsidRPr="00AD7042" w:rsidRDefault="004D2387" w:rsidP="009C28C1">
      <w:pPr>
        <w:spacing w:line="360" w:lineRule="auto"/>
        <w:ind w:left="-720"/>
        <w:jc w:val="both"/>
        <w:rPr>
          <w:rFonts w:ascii="Bookman Old Style" w:hAnsi="Bookman Old Style"/>
          <w:b/>
          <w:sz w:val="24"/>
          <w:szCs w:val="24"/>
        </w:rPr>
      </w:pPr>
      <w:r w:rsidRPr="00AD7042">
        <w:rPr>
          <w:rFonts w:ascii="Bookman Old Style" w:hAnsi="Bookman Old Style"/>
          <w:b/>
          <w:sz w:val="24"/>
          <w:szCs w:val="24"/>
        </w:rPr>
        <w:t>International trade tax collections</w:t>
      </w:r>
      <w:r w:rsidR="00165D8D" w:rsidRPr="00AD7042">
        <w:rPr>
          <w:rFonts w:ascii="Bookman Old Style" w:hAnsi="Bookman Old Style"/>
          <w:b/>
          <w:sz w:val="24"/>
          <w:szCs w:val="24"/>
        </w:rPr>
        <w:t>:</w:t>
      </w:r>
    </w:p>
    <w:p w:rsidR="009C28C1" w:rsidRPr="00AD7042" w:rsidRDefault="009C28C1" w:rsidP="009C28C1">
      <w:pPr>
        <w:spacing w:line="360" w:lineRule="auto"/>
        <w:ind w:left="-720"/>
        <w:jc w:val="both"/>
        <w:rPr>
          <w:rFonts w:ascii="Bookman Old Style" w:hAnsi="Bookman Old Style"/>
          <w:sz w:val="24"/>
          <w:szCs w:val="24"/>
        </w:rPr>
      </w:pPr>
      <w:r w:rsidRPr="00AD7042">
        <w:rPr>
          <w:rFonts w:ascii="Bookman Old Style" w:eastAsiaTheme="minorEastAsia" w:hAnsi="Bookman Old Style" w:cs="Arial"/>
          <w:sz w:val="24"/>
          <w:szCs w:val="24"/>
        </w:rPr>
        <w:t xml:space="preserve">The international </w:t>
      </w:r>
      <w:proofErr w:type="gramStart"/>
      <w:r w:rsidRPr="00AD7042">
        <w:rPr>
          <w:rFonts w:ascii="Bookman Old Style" w:eastAsiaTheme="minorEastAsia" w:hAnsi="Bookman Old Style" w:cs="Arial"/>
          <w:sz w:val="24"/>
          <w:szCs w:val="24"/>
        </w:rPr>
        <w:t>Trade  revenue</w:t>
      </w:r>
      <w:proofErr w:type="gramEnd"/>
      <w:r w:rsidRPr="00AD7042">
        <w:rPr>
          <w:rFonts w:ascii="Bookman Old Style" w:eastAsiaTheme="minorEastAsia" w:hAnsi="Bookman Old Style" w:cs="Arial"/>
          <w:sz w:val="24"/>
          <w:szCs w:val="24"/>
        </w:rPr>
        <w:t xml:space="preserve"> collection for July to December was UGX 5,426.46 billion against a target of UGX 5,454.72 billion. </w:t>
      </w:r>
      <w:r w:rsidRPr="00AD7042">
        <w:rPr>
          <w:rFonts w:ascii="Bookman Old Style" w:hAnsi="Bookman Old Style"/>
          <w:sz w:val="24"/>
          <w:szCs w:val="24"/>
        </w:rPr>
        <w:t>This resulted into a performance of 99.48 percent and a significant revenue growth of UGX 780.06 billion (16.79 percent) was achieved compared to same period last FY, that is July -Dec 2024. However, the collections were UGX 28.26 billion below the target.</w:t>
      </w:r>
    </w:p>
    <w:p w:rsidR="009C28C1" w:rsidRPr="00AD7042" w:rsidRDefault="009C28C1" w:rsidP="00165D8D">
      <w:pPr>
        <w:spacing w:line="360" w:lineRule="auto"/>
        <w:ind w:left="-720"/>
        <w:jc w:val="both"/>
        <w:rPr>
          <w:rFonts w:ascii="Bookman Old Style" w:hAnsi="Bookman Old Style"/>
          <w:b/>
          <w:sz w:val="24"/>
          <w:szCs w:val="24"/>
        </w:rPr>
      </w:pPr>
    </w:p>
    <w:p w:rsidR="00F67930" w:rsidRPr="00AD7042" w:rsidRDefault="00F67930" w:rsidP="00165D8D">
      <w:pPr>
        <w:spacing w:line="360" w:lineRule="auto"/>
        <w:ind w:left="-720"/>
        <w:jc w:val="both"/>
        <w:rPr>
          <w:rFonts w:ascii="Bookman Old Style" w:hAnsi="Bookman Old Style"/>
          <w:b/>
          <w:sz w:val="24"/>
          <w:szCs w:val="24"/>
        </w:rPr>
      </w:pPr>
      <w:r w:rsidRPr="00AD7042">
        <w:rPr>
          <w:rFonts w:ascii="Bookman Old Style" w:hAnsi="Bookman Old Style"/>
          <w:b/>
          <w:sz w:val="24"/>
          <w:szCs w:val="24"/>
        </w:rPr>
        <w:t xml:space="preserve">Reasons for </w:t>
      </w:r>
      <w:r w:rsidR="008F5645" w:rsidRPr="00AD7042">
        <w:rPr>
          <w:rFonts w:ascii="Bookman Old Style" w:hAnsi="Bookman Old Style"/>
          <w:b/>
          <w:sz w:val="24"/>
          <w:szCs w:val="24"/>
        </w:rPr>
        <w:t xml:space="preserve">the Half Year </w:t>
      </w:r>
      <w:r w:rsidRPr="00AD7042">
        <w:rPr>
          <w:rFonts w:ascii="Bookman Old Style" w:hAnsi="Bookman Old Style"/>
          <w:b/>
          <w:sz w:val="24"/>
          <w:szCs w:val="24"/>
        </w:rPr>
        <w:t>Revenue performance in FY 202</w:t>
      </w:r>
      <w:r w:rsidR="008F5645" w:rsidRPr="00AD7042">
        <w:rPr>
          <w:rFonts w:ascii="Bookman Old Style" w:hAnsi="Bookman Old Style"/>
          <w:b/>
          <w:sz w:val="24"/>
          <w:szCs w:val="24"/>
        </w:rPr>
        <w:t>4\25</w:t>
      </w:r>
    </w:p>
    <w:p w:rsidR="00BC13E0" w:rsidRPr="00AD7042" w:rsidRDefault="00F67930" w:rsidP="00165D8D">
      <w:pPr>
        <w:spacing w:line="360" w:lineRule="auto"/>
        <w:ind w:left="-720"/>
        <w:jc w:val="both"/>
        <w:rPr>
          <w:rFonts w:ascii="Bookman Old Style" w:hAnsi="Bookman Old Style"/>
          <w:bCs/>
          <w:sz w:val="24"/>
          <w:szCs w:val="24"/>
        </w:rPr>
      </w:pPr>
      <w:r w:rsidRPr="00AD7042">
        <w:rPr>
          <w:rFonts w:ascii="Bookman Old Style" w:hAnsi="Bookman Old Style"/>
          <w:b/>
          <w:bCs/>
          <w:sz w:val="24"/>
          <w:szCs w:val="24"/>
        </w:rPr>
        <w:t>Enhanced administrative measures</w:t>
      </w:r>
      <w:r w:rsidRPr="00AD7042">
        <w:rPr>
          <w:rFonts w:ascii="Bookman Old Style" w:hAnsi="Bookman Old Style"/>
          <w:bCs/>
          <w:sz w:val="24"/>
          <w:szCs w:val="24"/>
        </w:rPr>
        <w:t xml:space="preserve"> in form of </w:t>
      </w:r>
      <w:r w:rsidR="009D095D" w:rsidRPr="00AD7042">
        <w:rPr>
          <w:rFonts w:ascii="Bookman Old Style" w:hAnsi="Bookman Old Style" w:cs="Arial"/>
          <w:sz w:val="24"/>
          <w:szCs w:val="24"/>
        </w:rPr>
        <w:t>Enhanced compliance initiatives</w:t>
      </w:r>
      <w:r w:rsidRPr="00AD7042">
        <w:rPr>
          <w:rFonts w:ascii="Bookman Old Style" w:hAnsi="Bookman Old Style"/>
          <w:bCs/>
          <w:sz w:val="24"/>
          <w:szCs w:val="24"/>
        </w:rPr>
        <w:t xml:space="preserve">, arrears management, deliberate compliance engagements with the tax payers, </w:t>
      </w:r>
      <w:r w:rsidRPr="00AD7042">
        <w:rPr>
          <w:rFonts w:ascii="Bookman Old Style" w:hAnsi="Bookman Old Style"/>
          <w:bCs/>
          <w:sz w:val="24"/>
          <w:szCs w:val="24"/>
        </w:rPr>
        <w:lastRenderedPageBreak/>
        <w:t xml:space="preserve">increased </w:t>
      </w:r>
      <w:r w:rsidR="009D095D" w:rsidRPr="00AD7042">
        <w:rPr>
          <w:rFonts w:ascii="Bookman Old Style" w:hAnsi="Bookman Old Style"/>
          <w:bCs/>
          <w:sz w:val="24"/>
          <w:szCs w:val="24"/>
        </w:rPr>
        <w:t xml:space="preserve">Taxpayer training and </w:t>
      </w:r>
      <w:r w:rsidRPr="00AD7042">
        <w:rPr>
          <w:rFonts w:ascii="Bookman Old Style" w:hAnsi="Bookman Old Style"/>
          <w:bCs/>
          <w:sz w:val="24"/>
          <w:szCs w:val="24"/>
        </w:rPr>
        <w:t xml:space="preserve">sensitization, use of alternative dispute resolution, </w:t>
      </w:r>
      <w:r w:rsidR="009D095D" w:rsidRPr="00AD7042">
        <w:rPr>
          <w:rFonts w:ascii="Bookman Old Style" w:hAnsi="Bookman Old Style"/>
          <w:bCs/>
          <w:sz w:val="24"/>
          <w:szCs w:val="24"/>
        </w:rPr>
        <w:t xml:space="preserve">Sector based </w:t>
      </w:r>
      <w:r w:rsidRPr="00AD7042">
        <w:rPr>
          <w:rFonts w:ascii="Bookman Old Style" w:hAnsi="Bookman Old Style"/>
          <w:bCs/>
          <w:sz w:val="24"/>
          <w:szCs w:val="24"/>
        </w:rPr>
        <w:t xml:space="preserve">compliance </w:t>
      </w:r>
      <w:r w:rsidR="009D095D" w:rsidRPr="00AD7042">
        <w:rPr>
          <w:rFonts w:ascii="Bookman Old Style" w:hAnsi="Bookman Old Style"/>
          <w:bCs/>
          <w:sz w:val="24"/>
          <w:szCs w:val="24"/>
        </w:rPr>
        <w:t>management</w:t>
      </w:r>
      <w:r w:rsidRPr="00AD7042">
        <w:rPr>
          <w:rFonts w:ascii="Bookman Old Style" w:hAnsi="Bookman Old Style"/>
          <w:bCs/>
          <w:sz w:val="24"/>
          <w:szCs w:val="24"/>
        </w:rPr>
        <w:t>, use of information, tax investigations, and use of technology</w:t>
      </w:r>
      <w:r w:rsidR="009D095D" w:rsidRPr="00AD7042">
        <w:rPr>
          <w:rFonts w:ascii="Bookman Old Style" w:hAnsi="Bookman Old Style"/>
          <w:bCs/>
          <w:sz w:val="24"/>
          <w:szCs w:val="24"/>
        </w:rPr>
        <w:t>.</w:t>
      </w:r>
    </w:p>
    <w:p w:rsidR="00060606" w:rsidRPr="00AD7042" w:rsidRDefault="00060606" w:rsidP="00165D8D">
      <w:pPr>
        <w:spacing w:line="360" w:lineRule="auto"/>
        <w:ind w:left="-720"/>
        <w:jc w:val="both"/>
        <w:rPr>
          <w:rFonts w:ascii="Bookman Old Style" w:hAnsi="Bookman Old Style" w:cs="Arial"/>
          <w:sz w:val="24"/>
          <w:szCs w:val="24"/>
        </w:rPr>
      </w:pPr>
      <w:r w:rsidRPr="00AD7042">
        <w:rPr>
          <w:rFonts w:ascii="Bookman Old Style" w:hAnsi="Bookman Old Style" w:cs="Arial"/>
          <w:b/>
          <w:sz w:val="24"/>
          <w:szCs w:val="24"/>
        </w:rPr>
        <w:t>Increased field operations and engagements:</w:t>
      </w:r>
      <w:r w:rsidRPr="00AD7042">
        <w:rPr>
          <w:rFonts w:ascii="Bookman Old Style" w:hAnsi="Bookman Old Style" w:cs="Arial"/>
          <w:sz w:val="24"/>
          <w:szCs w:val="24"/>
        </w:rPr>
        <w:t xml:space="preserve"> Continuous taxpayer engagements, and intensified field activities have driven higher remittances from taxpayers.</w:t>
      </w:r>
    </w:p>
    <w:p w:rsidR="004E0814" w:rsidRPr="00AD7042" w:rsidRDefault="004E0814" w:rsidP="00165D8D">
      <w:pPr>
        <w:spacing w:line="360" w:lineRule="auto"/>
        <w:ind w:left="-720"/>
        <w:jc w:val="both"/>
        <w:rPr>
          <w:rFonts w:ascii="Bookman Old Style" w:hAnsi="Bookman Old Style"/>
          <w:bCs/>
          <w:sz w:val="24"/>
          <w:szCs w:val="24"/>
        </w:rPr>
      </w:pPr>
      <w:r w:rsidRPr="00AD7042">
        <w:rPr>
          <w:rFonts w:ascii="Bookman Old Style" w:hAnsi="Bookman Old Style" w:cs="Arial"/>
          <w:b/>
          <w:sz w:val="24"/>
          <w:szCs w:val="24"/>
        </w:rPr>
        <w:t xml:space="preserve">Improvement of compliance processes </w:t>
      </w:r>
      <w:r w:rsidRPr="00AD7042">
        <w:rPr>
          <w:rFonts w:ascii="Bookman Old Style" w:hAnsi="Bookman Old Style" w:cs="Arial"/>
          <w:sz w:val="24"/>
          <w:szCs w:val="24"/>
        </w:rPr>
        <w:t>like the filing process for rental tax and Local excise duty using prefilled returns.  The return prefilling reduces the turnaround time and the cost of compliance for the Taxpayers.</w:t>
      </w:r>
    </w:p>
    <w:p w:rsidR="004E0814" w:rsidRPr="00AD7042" w:rsidRDefault="004E0814" w:rsidP="00165D8D">
      <w:pPr>
        <w:spacing w:line="360" w:lineRule="auto"/>
        <w:ind w:left="-720"/>
        <w:jc w:val="both"/>
        <w:rPr>
          <w:rFonts w:ascii="Bookman Old Style" w:hAnsi="Bookman Old Style"/>
          <w:b/>
          <w:sz w:val="24"/>
          <w:szCs w:val="24"/>
        </w:rPr>
      </w:pPr>
    </w:p>
    <w:p w:rsidR="006F1C17" w:rsidRPr="00AD7042" w:rsidRDefault="00B24BB3" w:rsidP="00165D8D">
      <w:pPr>
        <w:spacing w:line="360" w:lineRule="auto"/>
        <w:ind w:left="-720"/>
        <w:jc w:val="both"/>
        <w:rPr>
          <w:rFonts w:ascii="Bookman Old Style" w:hAnsi="Bookman Old Style"/>
          <w:b/>
          <w:sz w:val="24"/>
          <w:szCs w:val="24"/>
        </w:rPr>
      </w:pPr>
      <w:r w:rsidRPr="00AD7042">
        <w:rPr>
          <w:rFonts w:ascii="Bookman Old Style" w:hAnsi="Bookman Old Style"/>
          <w:b/>
          <w:sz w:val="24"/>
          <w:szCs w:val="24"/>
        </w:rPr>
        <w:t>ADMINISTRATIVE ACHIEVEMENTS</w:t>
      </w:r>
      <w:r w:rsidR="006A401B" w:rsidRPr="00AD7042">
        <w:rPr>
          <w:rFonts w:ascii="Bookman Old Style" w:hAnsi="Bookman Old Style"/>
          <w:b/>
          <w:sz w:val="24"/>
          <w:szCs w:val="24"/>
        </w:rPr>
        <w:t xml:space="preserve"> in FY 202</w:t>
      </w:r>
      <w:r w:rsidR="008F5645" w:rsidRPr="00AD7042">
        <w:rPr>
          <w:rFonts w:ascii="Bookman Old Style" w:hAnsi="Bookman Old Style"/>
          <w:b/>
          <w:sz w:val="24"/>
          <w:szCs w:val="24"/>
        </w:rPr>
        <w:t>4</w:t>
      </w:r>
      <w:r w:rsidR="006A401B" w:rsidRPr="00AD7042">
        <w:rPr>
          <w:rFonts w:ascii="Bookman Old Style" w:hAnsi="Bookman Old Style"/>
          <w:b/>
          <w:sz w:val="24"/>
          <w:szCs w:val="24"/>
        </w:rPr>
        <w:t>/2</w:t>
      </w:r>
      <w:r w:rsidR="008F5645" w:rsidRPr="00AD7042">
        <w:rPr>
          <w:rFonts w:ascii="Bookman Old Style" w:hAnsi="Bookman Old Style"/>
          <w:b/>
          <w:sz w:val="24"/>
          <w:szCs w:val="24"/>
        </w:rPr>
        <w:t>5</w:t>
      </w:r>
    </w:p>
    <w:p w:rsidR="00180F90" w:rsidRPr="00AD7042" w:rsidRDefault="006A401B" w:rsidP="00165D8D">
      <w:pPr>
        <w:spacing w:line="360" w:lineRule="auto"/>
        <w:ind w:left="-720"/>
        <w:jc w:val="both"/>
        <w:rPr>
          <w:rFonts w:ascii="Bookman Old Style" w:hAnsi="Bookman Old Style"/>
          <w:sz w:val="24"/>
          <w:szCs w:val="24"/>
        </w:rPr>
      </w:pPr>
      <w:r w:rsidRPr="00AD7042">
        <w:rPr>
          <w:rFonts w:ascii="Bookman Old Style" w:hAnsi="Bookman Old Style"/>
          <w:sz w:val="24"/>
          <w:szCs w:val="24"/>
        </w:rPr>
        <w:t>The key initiatives implemented in FY 202</w:t>
      </w:r>
      <w:r w:rsidR="004E0814" w:rsidRPr="00AD7042">
        <w:rPr>
          <w:rFonts w:ascii="Bookman Old Style" w:hAnsi="Bookman Old Style"/>
          <w:sz w:val="24"/>
          <w:szCs w:val="24"/>
        </w:rPr>
        <w:t>4</w:t>
      </w:r>
      <w:r w:rsidRPr="00AD7042">
        <w:rPr>
          <w:rFonts w:ascii="Bookman Old Style" w:hAnsi="Bookman Old Style"/>
          <w:sz w:val="24"/>
          <w:szCs w:val="24"/>
        </w:rPr>
        <w:t>/2</w:t>
      </w:r>
      <w:r w:rsidR="004E0814" w:rsidRPr="00AD7042">
        <w:rPr>
          <w:rFonts w:ascii="Bookman Old Style" w:hAnsi="Bookman Old Style"/>
          <w:sz w:val="24"/>
          <w:szCs w:val="24"/>
        </w:rPr>
        <w:t>5</w:t>
      </w:r>
      <w:r w:rsidRPr="00AD7042">
        <w:rPr>
          <w:rFonts w:ascii="Bookman Old Style" w:hAnsi="Bookman Old Style"/>
          <w:sz w:val="24"/>
          <w:szCs w:val="24"/>
        </w:rPr>
        <w:t xml:space="preserve"> to influence taxpayers’ compliance behavior/culture, widen the tax base and support revenue collections were;</w:t>
      </w:r>
    </w:p>
    <w:p w:rsidR="004E347E" w:rsidRPr="00AD7042" w:rsidRDefault="00180F90" w:rsidP="00165D8D">
      <w:pPr>
        <w:spacing w:line="360" w:lineRule="auto"/>
        <w:ind w:left="-720"/>
        <w:jc w:val="both"/>
        <w:rPr>
          <w:rFonts w:ascii="Bookman Old Style" w:hAnsi="Bookman Old Style" w:cs="Arial"/>
          <w:sz w:val="24"/>
          <w:szCs w:val="24"/>
        </w:rPr>
      </w:pPr>
      <w:r w:rsidRPr="00AD7042">
        <w:rPr>
          <w:rFonts w:ascii="Bookman Old Style" w:hAnsi="Bookman Old Style"/>
          <w:b/>
          <w:sz w:val="24"/>
          <w:szCs w:val="24"/>
        </w:rPr>
        <w:t>Expansion of Tax Base</w:t>
      </w:r>
      <w:r w:rsidR="008A54EA" w:rsidRPr="00AD7042">
        <w:rPr>
          <w:rFonts w:ascii="Bookman Old Style" w:hAnsi="Bookman Old Style"/>
          <w:b/>
          <w:sz w:val="24"/>
          <w:szCs w:val="24"/>
        </w:rPr>
        <w:t xml:space="preserve"> </w:t>
      </w:r>
      <w:r w:rsidRPr="00AD7042">
        <w:rPr>
          <w:rFonts w:ascii="Bookman Old Style" w:hAnsi="Bookman Old Style" w:cs="Arial"/>
          <w:sz w:val="24"/>
          <w:szCs w:val="24"/>
        </w:rPr>
        <w:t>During the</w:t>
      </w:r>
      <w:r w:rsidR="00192E57" w:rsidRPr="00AD7042">
        <w:rPr>
          <w:rFonts w:ascii="Bookman Old Style" w:hAnsi="Bookman Old Style" w:cs="Arial"/>
          <w:sz w:val="24"/>
          <w:szCs w:val="24"/>
        </w:rPr>
        <w:t xml:space="preserve"> first Half </w:t>
      </w:r>
      <w:proofErr w:type="gramStart"/>
      <w:r w:rsidR="00192E57" w:rsidRPr="00AD7042">
        <w:rPr>
          <w:rFonts w:ascii="Bookman Old Style" w:hAnsi="Bookman Old Style" w:cs="Arial"/>
          <w:sz w:val="24"/>
          <w:szCs w:val="24"/>
        </w:rPr>
        <w:t xml:space="preserve">of </w:t>
      </w:r>
      <w:r w:rsidRPr="00AD7042">
        <w:rPr>
          <w:rFonts w:ascii="Bookman Old Style" w:hAnsi="Bookman Old Style" w:cs="Arial"/>
          <w:sz w:val="24"/>
          <w:szCs w:val="24"/>
        </w:rPr>
        <w:t xml:space="preserve"> FY</w:t>
      </w:r>
      <w:proofErr w:type="gramEnd"/>
      <w:r w:rsidRPr="00AD7042">
        <w:rPr>
          <w:rFonts w:ascii="Bookman Old Style" w:hAnsi="Bookman Old Style" w:cs="Arial"/>
          <w:sz w:val="24"/>
          <w:szCs w:val="24"/>
        </w:rPr>
        <w:t xml:space="preserve"> 202</w:t>
      </w:r>
      <w:r w:rsidR="00192E57" w:rsidRPr="00AD7042">
        <w:rPr>
          <w:rFonts w:ascii="Bookman Old Style" w:hAnsi="Bookman Old Style" w:cs="Arial"/>
          <w:sz w:val="24"/>
          <w:szCs w:val="24"/>
        </w:rPr>
        <w:t>4</w:t>
      </w:r>
      <w:r w:rsidRPr="00AD7042">
        <w:rPr>
          <w:rFonts w:ascii="Bookman Old Style" w:hAnsi="Bookman Old Style" w:cs="Arial"/>
          <w:sz w:val="24"/>
          <w:szCs w:val="24"/>
        </w:rPr>
        <w:t>/2</w:t>
      </w:r>
      <w:r w:rsidR="00192E57" w:rsidRPr="00AD7042">
        <w:rPr>
          <w:rFonts w:ascii="Bookman Old Style" w:hAnsi="Bookman Old Style" w:cs="Arial"/>
          <w:sz w:val="24"/>
          <w:szCs w:val="24"/>
        </w:rPr>
        <w:t>5</w:t>
      </w:r>
      <w:r w:rsidRPr="00AD7042">
        <w:rPr>
          <w:rFonts w:ascii="Bookman Old Style" w:hAnsi="Bookman Old Style" w:cs="Arial"/>
          <w:sz w:val="24"/>
          <w:szCs w:val="24"/>
        </w:rPr>
        <w:t xml:space="preserve">, </w:t>
      </w:r>
      <w:r w:rsidR="00192E57" w:rsidRPr="00AD7042">
        <w:rPr>
          <w:rFonts w:ascii="Bookman Old Style" w:hAnsi="Bookman Old Style" w:cs="Arial"/>
          <w:sz w:val="24"/>
          <w:szCs w:val="24"/>
        </w:rPr>
        <w:t>420,183</w:t>
      </w:r>
      <w:r w:rsidRPr="00AD7042">
        <w:rPr>
          <w:rFonts w:ascii="Bookman Old Style" w:hAnsi="Bookman Old Style" w:cs="Arial"/>
          <w:sz w:val="24"/>
          <w:szCs w:val="24"/>
        </w:rPr>
        <w:t xml:space="preserve"> new taxpayers were added to the tax-payer register </w:t>
      </w:r>
      <w:r w:rsidR="00192E57" w:rsidRPr="00AD7042">
        <w:rPr>
          <w:rFonts w:ascii="Bookman Old Style" w:hAnsi="Bookman Old Style" w:cs="Arial"/>
          <w:sz w:val="24"/>
          <w:szCs w:val="24"/>
        </w:rPr>
        <w:t xml:space="preserve">bringing a total of 4,881,983 Taxpayers. The new Taxpayers so </w:t>
      </w:r>
      <w:proofErr w:type="gramStart"/>
      <w:r w:rsidR="00192E57" w:rsidRPr="00AD7042">
        <w:rPr>
          <w:rFonts w:ascii="Bookman Old Style" w:hAnsi="Bookman Old Style" w:cs="Arial"/>
          <w:sz w:val="24"/>
          <w:szCs w:val="24"/>
        </w:rPr>
        <w:t xml:space="preserve">far </w:t>
      </w:r>
      <w:r w:rsidRPr="00AD7042">
        <w:rPr>
          <w:rFonts w:ascii="Bookman Old Style" w:hAnsi="Bookman Old Style" w:cs="Arial"/>
          <w:sz w:val="24"/>
          <w:szCs w:val="24"/>
        </w:rPr>
        <w:t xml:space="preserve"> </w:t>
      </w:r>
      <w:r w:rsidR="00192E57" w:rsidRPr="00AD7042">
        <w:rPr>
          <w:rFonts w:ascii="Bookman Old Style" w:hAnsi="Bookman Old Style" w:cs="Arial"/>
          <w:sz w:val="24"/>
          <w:szCs w:val="24"/>
        </w:rPr>
        <w:t>yielded</w:t>
      </w:r>
      <w:proofErr w:type="gramEnd"/>
      <w:r w:rsidR="00192E57" w:rsidRPr="00AD7042">
        <w:rPr>
          <w:rFonts w:ascii="Bookman Old Style" w:hAnsi="Bookman Old Style" w:cs="Arial"/>
          <w:sz w:val="24"/>
          <w:szCs w:val="24"/>
        </w:rPr>
        <w:t xml:space="preserve">  </w:t>
      </w:r>
      <w:proofErr w:type="spellStart"/>
      <w:r w:rsidR="00192E57" w:rsidRPr="00AD7042">
        <w:rPr>
          <w:rFonts w:ascii="Bookman Old Style" w:hAnsi="Bookman Old Style" w:cs="Arial"/>
          <w:sz w:val="24"/>
          <w:szCs w:val="24"/>
        </w:rPr>
        <w:t>UGx</w:t>
      </w:r>
      <w:proofErr w:type="spellEnd"/>
      <w:r w:rsidR="00192E57" w:rsidRPr="00AD7042">
        <w:rPr>
          <w:rFonts w:ascii="Bookman Old Style" w:hAnsi="Bookman Old Style" w:cs="Arial"/>
          <w:sz w:val="24"/>
          <w:szCs w:val="24"/>
        </w:rPr>
        <w:t>. 59.01billion for the period July -Dec.</w:t>
      </w:r>
      <w:r w:rsidRPr="00AD7042">
        <w:rPr>
          <w:rFonts w:ascii="Bookman Old Style" w:hAnsi="Bookman Old Style" w:cs="Arial"/>
          <w:sz w:val="24"/>
          <w:szCs w:val="24"/>
        </w:rPr>
        <w:t xml:space="preserve"> Of these, </w:t>
      </w:r>
      <w:r w:rsidR="004E347E" w:rsidRPr="00AD7042">
        <w:rPr>
          <w:rFonts w:ascii="Bookman Old Style" w:hAnsi="Bookman Old Style" w:cs="Arial"/>
          <w:sz w:val="24"/>
          <w:szCs w:val="24"/>
        </w:rPr>
        <w:t>232,063</w:t>
      </w:r>
      <w:r w:rsidRPr="00AD7042">
        <w:rPr>
          <w:rFonts w:ascii="Bookman Old Style" w:hAnsi="Bookman Old Style" w:cs="Arial"/>
          <w:sz w:val="24"/>
          <w:szCs w:val="24"/>
        </w:rPr>
        <w:t xml:space="preserve"> were non-individuals and </w:t>
      </w:r>
      <w:r w:rsidR="004E347E" w:rsidRPr="00AD7042">
        <w:rPr>
          <w:rFonts w:ascii="Bookman Old Style" w:hAnsi="Bookman Old Style" w:cs="Arial"/>
          <w:sz w:val="24"/>
          <w:szCs w:val="24"/>
        </w:rPr>
        <w:t>4,649,920</w:t>
      </w:r>
      <w:r w:rsidRPr="00AD7042">
        <w:rPr>
          <w:rFonts w:ascii="Bookman Old Style" w:hAnsi="Bookman Old Style" w:cs="Arial"/>
          <w:sz w:val="24"/>
          <w:szCs w:val="24"/>
        </w:rPr>
        <w:t xml:space="preserve"> were individual tax payers. </w:t>
      </w:r>
      <w:bookmarkStart w:id="1" w:name="_Toc53805909"/>
      <w:bookmarkStart w:id="2" w:name="_Toc140348541"/>
    </w:p>
    <w:p w:rsidR="0094083A" w:rsidRPr="00AD7042" w:rsidRDefault="0094083A" w:rsidP="00165D8D">
      <w:pPr>
        <w:spacing w:line="360" w:lineRule="auto"/>
        <w:ind w:left="-720"/>
        <w:jc w:val="both"/>
        <w:rPr>
          <w:rFonts w:ascii="Bookman Old Style" w:hAnsi="Bookman Old Style" w:cs="Arial"/>
          <w:sz w:val="24"/>
          <w:szCs w:val="24"/>
        </w:rPr>
      </w:pPr>
      <w:r w:rsidRPr="00AD7042">
        <w:rPr>
          <w:rFonts w:ascii="Bookman Old Style" w:hAnsi="Bookman Old Style" w:cs="Arial"/>
          <w:sz w:val="24"/>
          <w:szCs w:val="24"/>
        </w:rPr>
        <w:t xml:space="preserve"> The growth</w:t>
      </w:r>
      <w:r w:rsidR="004E347E" w:rsidRPr="00AD7042">
        <w:rPr>
          <w:rFonts w:ascii="Bookman Old Style" w:hAnsi="Bookman Old Style" w:cs="Arial"/>
          <w:sz w:val="24"/>
          <w:szCs w:val="24"/>
        </w:rPr>
        <w:t xml:space="preserve"> in the register is </w:t>
      </w:r>
      <w:r w:rsidRPr="00AD7042">
        <w:rPr>
          <w:rFonts w:ascii="Bookman Old Style" w:hAnsi="Bookman Old Style" w:cs="Arial"/>
          <w:sz w:val="24"/>
          <w:szCs w:val="24"/>
        </w:rPr>
        <w:t xml:space="preserve">accredited to </w:t>
      </w:r>
      <w:r w:rsidR="004E347E" w:rsidRPr="00AD7042">
        <w:rPr>
          <w:rFonts w:ascii="Bookman Old Style" w:hAnsi="Bookman Old Style" w:cs="Arial"/>
          <w:sz w:val="24"/>
          <w:szCs w:val="24"/>
        </w:rPr>
        <w:t>use of 3</w:t>
      </w:r>
      <w:r w:rsidR="004E347E" w:rsidRPr="00AD7042">
        <w:rPr>
          <w:rFonts w:ascii="Bookman Old Style" w:hAnsi="Bookman Old Style" w:cs="Arial"/>
          <w:sz w:val="24"/>
          <w:szCs w:val="24"/>
          <w:vertAlign w:val="superscript"/>
        </w:rPr>
        <w:t>rd</w:t>
      </w:r>
      <w:r w:rsidR="004E347E" w:rsidRPr="00AD7042">
        <w:rPr>
          <w:rFonts w:ascii="Bookman Old Style" w:hAnsi="Bookman Old Style" w:cs="Arial"/>
          <w:sz w:val="24"/>
          <w:szCs w:val="24"/>
        </w:rPr>
        <w:t xml:space="preserve"> party information, process simplification for Tin acquisition and increase field operations and engagements</w:t>
      </w:r>
      <w:r w:rsidRPr="00AD7042">
        <w:rPr>
          <w:rFonts w:ascii="Bookman Old Style" w:hAnsi="Bookman Old Style" w:cs="Arial"/>
          <w:sz w:val="24"/>
          <w:szCs w:val="24"/>
        </w:rPr>
        <w:t>.</w:t>
      </w:r>
    </w:p>
    <w:p w:rsidR="004E347E" w:rsidRPr="00AD7042" w:rsidRDefault="004E347E" w:rsidP="004E347E">
      <w:pPr>
        <w:spacing w:line="360" w:lineRule="auto"/>
        <w:ind w:left="-720"/>
        <w:jc w:val="both"/>
        <w:rPr>
          <w:rFonts w:ascii="Bookman Old Style" w:hAnsi="Bookman Old Style" w:cs="Arial"/>
          <w:b/>
          <w:sz w:val="24"/>
          <w:szCs w:val="24"/>
        </w:rPr>
      </w:pPr>
      <w:r w:rsidRPr="00AD7042">
        <w:rPr>
          <w:rFonts w:ascii="Bookman Old Style" w:hAnsi="Bookman Old Style" w:cs="Arial"/>
          <w:b/>
          <w:sz w:val="24"/>
          <w:szCs w:val="24"/>
        </w:rPr>
        <w:t>Implementation of government policy on income tax Waiver, inline with section 47A of the</w:t>
      </w:r>
      <w:r w:rsidR="00EB49B5">
        <w:rPr>
          <w:rFonts w:ascii="Bookman Old Style" w:hAnsi="Bookman Old Style" w:cs="Arial"/>
          <w:b/>
          <w:sz w:val="24"/>
          <w:szCs w:val="24"/>
        </w:rPr>
        <w:t xml:space="preserve"> Tax Procedures Code </w:t>
      </w:r>
      <w:r w:rsidRPr="00AD7042">
        <w:rPr>
          <w:rFonts w:ascii="Bookman Old Style" w:hAnsi="Bookman Old Style" w:cs="Arial"/>
          <w:b/>
          <w:sz w:val="24"/>
          <w:szCs w:val="24"/>
        </w:rPr>
        <w:t>Act.</w:t>
      </w:r>
    </w:p>
    <w:p w:rsidR="004E347E" w:rsidRPr="00AD7042" w:rsidRDefault="004E347E" w:rsidP="004E347E">
      <w:pPr>
        <w:spacing w:line="360" w:lineRule="auto"/>
        <w:ind w:left="-720"/>
        <w:jc w:val="both"/>
        <w:rPr>
          <w:rFonts w:ascii="Bookman Old Style" w:hAnsi="Bookman Old Style" w:cs="Arial"/>
          <w:b/>
          <w:sz w:val="24"/>
          <w:szCs w:val="24"/>
        </w:rPr>
      </w:pPr>
      <w:r w:rsidRPr="00AD7042">
        <w:rPr>
          <w:rFonts w:ascii="Bookman Old Style" w:hAnsi="Bookman Old Style" w:cs="Arial"/>
          <w:sz w:val="24"/>
          <w:szCs w:val="24"/>
          <w:lang w:val="en-GB"/>
        </w:rPr>
        <w:t xml:space="preserve">This resulted into Revenue collection </w:t>
      </w:r>
      <w:proofErr w:type="gramStart"/>
      <w:r w:rsidRPr="00AD7042">
        <w:rPr>
          <w:rFonts w:ascii="Bookman Old Style" w:hAnsi="Bookman Old Style" w:cs="Arial"/>
          <w:sz w:val="24"/>
          <w:szCs w:val="24"/>
          <w:lang w:val="en-GB"/>
        </w:rPr>
        <w:t xml:space="preserve">of  </w:t>
      </w:r>
      <w:bookmarkStart w:id="3" w:name="_GoBack"/>
      <w:bookmarkEnd w:id="3"/>
      <w:r w:rsidRPr="00AD7042">
        <w:rPr>
          <w:rFonts w:ascii="Bookman Old Style" w:hAnsi="Bookman Old Style" w:cs="Arial"/>
          <w:sz w:val="24"/>
          <w:szCs w:val="24"/>
          <w:lang w:val="en-GB"/>
        </w:rPr>
        <w:t>Principal</w:t>
      </w:r>
      <w:proofErr w:type="gramEnd"/>
      <w:r w:rsidRPr="00AD7042">
        <w:rPr>
          <w:rFonts w:ascii="Bookman Old Style" w:hAnsi="Bookman Old Style" w:cs="Arial"/>
          <w:sz w:val="24"/>
          <w:szCs w:val="24"/>
          <w:lang w:val="en-GB"/>
        </w:rPr>
        <w:t xml:space="preserve"> tax of </w:t>
      </w:r>
      <w:r w:rsidRPr="00AD7042">
        <w:rPr>
          <w:rFonts w:ascii="Bookman Old Style" w:hAnsi="Bookman Old Style" w:cs="Arial"/>
          <w:b/>
          <w:sz w:val="24"/>
          <w:szCs w:val="24"/>
          <w:lang w:val="en-GB"/>
        </w:rPr>
        <w:t>UGX 261.98 billion</w:t>
      </w:r>
      <w:r w:rsidRPr="00AD7042">
        <w:rPr>
          <w:rFonts w:ascii="Bookman Old Style" w:hAnsi="Bookman Old Style" w:cs="Arial"/>
          <w:sz w:val="24"/>
          <w:szCs w:val="24"/>
          <w:lang w:val="en-GB"/>
        </w:rPr>
        <w:t xml:space="preserve"> and waived penalties worth </w:t>
      </w:r>
      <w:r w:rsidRPr="00AD7042">
        <w:rPr>
          <w:rFonts w:ascii="Bookman Old Style" w:hAnsi="Bookman Old Style" w:cs="Arial"/>
          <w:b/>
          <w:sz w:val="24"/>
          <w:szCs w:val="24"/>
          <w:lang w:val="en-GB"/>
        </w:rPr>
        <w:t>UGX 2.73 billion</w:t>
      </w:r>
      <w:r w:rsidRPr="00AD7042">
        <w:rPr>
          <w:rFonts w:ascii="Bookman Old Style" w:hAnsi="Bookman Old Style" w:cs="Arial"/>
          <w:sz w:val="24"/>
          <w:szCs w:val="24"/>
          <w:lang w:val="en-GB"/>
        </w:rPr>
        <w:t xml:space="preserve"> and Interest </w:t>
      </w:r>
      <w:r w:rsidRPr="00AD7042">
        <w:rPr>
          <w:rFonts w:ascii="Bookman Old Style" w:hAnsi="Bookman Old Style" w:cs="Arial"/>
          <w:b/>
          <w:sz w:val="24"/>
          <w:szCs w:val="24"/>
          <w:lang w:val="en-GB"/>
        </w:rPr>
        <w:t>UGX 111.79 billion</w:t>
      </w:r>
      <w:r w:rsidRPr="00AD7042">
        <w:rPr>
          <w:rFonts w:ascii="Bookman Old Style" w:hAnsi="Bookman Old Style" w:cs="Arial"/>
          <w:sz w:val="24"/>
          <w:szCs w:val="24"/>
          <w:lang w:val="en-GB"/>
        </w:rPr>
        <w:t xml:space="preserve">  as at 31</w:t>
      </w:r>
      <w:r w:rsidRPr="00AD7042">
        <w:rPr>
          <w:rFonts w:ascii="Bookman Old Style" w:hAnsi="Bookman Old Style" w:cs="Arial"/>
          <w:sz w:val="24"/>
          <w:szCs w:val="24"/>
          <w:vertAlign w:val="superscript"/>
          <w:lang w:val="en-GB"/>
        </w:rPr>
        <w:t>st</w:t>
      </w:r>
      <w:r w:rsidRPr="00AD7042">
        <w:rPr>
          <w:rFonts w:ascii="Bookman Old Style" w:hAnsi="Bookman Old Style" w:cs="Arial"/>
          <w:sz w:val="24"/>
          <w:szCs w:val="24"/>
          <w:lang w:val="en-GB"/>
        </w:rPr>
        <w:t xml:space="preserve"> December 2024.</w:t>
      </w:r>
    </w:p>
    <w:p w:rsidR="00066D51" w:rsidRPr="00AD7042" w:rsidRDefault="00066D51" w:rsidP="00165D8D">
      <w:pPr>
        <w:spacing w:line="360" w:lineRule="auto"/>
        <w:ind w:left="-720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AD704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Enforcement Interventions</w:t>
      </w:r>
    </w:p>
    <w:p w:rsidR="009B0F1B" w:rsidRPr="00AD7042" w:rsidRDefault="009B0F1B" w:rsidP="00165D8D">
      <w:pPr>
        <w:spacing w:line="360" w:lineRule="auto"/>
        <w:ind w:left="-720"/>
        <w:jc w:val="both"/>
        <w:rPr>
          <w:rFonts w:ascii="Bookman Old Style" w:hAnsi="Bookman Old Style" w:cs="Arial"/>
          <w:sz w:val="24"/>
          <w:szCs w:val="24"/>
        </w:rPr>
      </w:pPr>
      <w:r w:rsidRPr="00AD7042">
        <w:rPr>
          <w:rFonts w:ascii="Bookman Old Style" w:hAnsi="Bookman Old Style" w:cs="Arial"/>
          <w:color w:val="212121"/>
          <w:sz w:val="24"/>
          <w:szCs w:val="24"/>
          <w:shd w:val="clear" w:color="auto" w:fill="FFFFFF"/>
        </w:rPr>
        <w:lastRenderedPageBreak/>
        <w:t>Customs country-wide enforcement operations during the first half of FY 2024/25 led to a recovery of UGX 38 billion as a consequence of 9,303 seizures of which 8,696 were for dutiable goods and 607 seizures for non-dutiable goods.</w:t>
      </w:r>
    </w:p>
    <w:p w:rsidR="001F2D05" w:rsidRPr="00AD7042" w:rsidRDefault="001F2D05" w:rsidP="00165D8D">
      <w:pPr>
        <w:spacing w:line="360" w:lineRule="auto"/>
        <w:ind w:left="-720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AD7042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Legal Services and Board Affairs </w:t>
      </w:r>
      <w:bookmarkStart w:id="4" w:name="_Toc53805912"/>
    </w:p>
    <w:p w:rsidR="00AD7042" w:rsidRPr="00AD7042" w:rsidRDefault="00AD7042" w:rsidP="00AD7042">
      <w:pPr>
        <w:spacing w:line="360" w:lineRule="auto"/>
        <w:ind w:left="-720"/>
        <w:jc w:val="both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en-GB"/>
        </w:rPr>
      </w:pPr>
      <w:bookmarkStart w:id="5" w:name="_Toc140348545"/>
      <w:r w:rsidRPr="00AD7042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en-GB"/>
        </w:rPr>
        <w:t xml:space="preserve">In the month of December, 2024, the LSBA Department recorded a total collection of UGX 86.067 billion and USD 2800. </w:t>
      </w:r>
      <w:proofErr w:type="gramStart"/>
      <w:r w:rsidRPr="00AD7042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en-GB"/>
        </w:rPr>
        <w:t>Of  which</w:t>
      </w:r>
      <w:proofErr w:type="gramEnd"/>
      <w:r w:rsidRPr="00AD7042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eastAsia="en-GB"/>
        </w:rPr>
        <w:t xml:space="preserve">   ADR  contributed a total of UGX 55.25 billion. </w:t>
      </w:r>
    </w:p>
    <w:bookmarkEnd w:id="1"/>
    <w:bookmarkEnd w:id="2"/>
    <w:bookmarkEnd w:id="4"/>
    <w:bookmarkEnd w:id="5"/>
    <w:p w:rsidR="001F2D05" w:rsidRPr="00AD7042" w:rsidRDefault="001F2D05" w:rsidP="00165D8D">
      <w:pPr>
        <w:tabs>
          <w:tab w:val="center" w:pos="4514"/>
        </w:tabs>
        <w:spacing w:after="0" w:line="240" w:lineRule="auto"/>
        <w:jc w:val="both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</w:p>
    <w:p w:rsidR="00AD7042" w:rsidRDefault="006A401B" w:rsidP="002174AD">
      <w:pPr>
        <w:tabs>
          <w:tab w:val="center" w:pos="4514"/>
        </w:tabs>
        <w:spacing w:after="0" w:line="360" w:lineRule="auto"/>
        <w:ind w:left="-720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AD7042">
        <w:rPr>
          <w:rFonts w:ascii="Bookman Old Style" w:eastAsia="Times New Roman" w:hAnsi="Bookman Old Style" w:cs="Arial"/>
          <w:b/>
          <w:bCs/>
          <w:sz w:val="24"/>
          <w:szCs w:val="24"/>
        </w:rPr>
        <w:t xml:space="preserve">Outlook for </w:t>
      </w:r>
      <w:r w:rsidR="00F53457" w:rsidRPr="00AD7042">
        <w:rPr>
          <w:rFonts w:ascii="Bookman Old Style" w:eastAsia="Times New Roman" w:hAnsi="Bookman Old Style" w:cs="Arial"/>
          <w:b/>
          <w:bCs/>
          <w:sz w:val="24"/>
          <w:szCs w:val="24"/>
        </w:rPr>
        <w:t>Second Half of FY 2024/25</w:t>
      </w:r>
      <w:r w:rsidR="00F73296" w:rsidRPr="00AD7042">
        <w:rPr>
          <w:rFonts w:ascii="Bookman Old Style" w:eastAsia="Times New Roman" w:hAnsi="Bookman Old Style" w:cs="Arial"/>
          <w:b/>
          <w:bCs/>
          <w:sz w:val="24"/>
          <w:szCs w:val="24"/>
        </w:rPr>
        <w:t>: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The net revenue collection target for the</w:t>
      </w:r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second Half </w:t>
      </w:r>
      <w:proofErr w:type="gramStart"/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of 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FY</w:t>
      </w:r>
      <w:proofErr w:type="gramEnd"/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202</w:t>
      </w:r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>4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>/2</w:t>
      </w:r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>5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is  </w:t>
      </w:r>
      <w:r w:rsidR="00F53457" w:rsidRPr="00AD7042">
        <w:rPr>
          <w:rFonts w:ascii="Bookman Old Style" w:eastAsiaTheme="minorEastAsia" w:hAnsi="Bookman Old Style" w:cs="Arial"/>
          <w:b/>
          <w:sz w:val="24"/>
          <w:szCs w:val="24"/>
        </w:rPr>
        <w:t xml:space="preserve">UGX16,442.32 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billion which represents a</w:t>
      </w:r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share of 52% of the annual Target.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</w:t>
      </w:r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>T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>he target for the FY 202</w:t>
      </w:r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>4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>/2</w:t>
      </w:r>
      <w:r w:rsidR="00F53457" w:rsidRPr="00AD7042">
        <w:rPr>
          <w:rFonts w:ascii="Bookman Old Style" w:eastAsia="Times New Roman" w:hAnsi="Bookman Old Style" w:cs="Arial"/>
          <w:bCs/>
          <w:sz w:val="24"/>
          <w:szCs w:val="24"/>
        </w:rPr>
        <w:t>5</w:t>
      </w:r>
      <w:r w:rsidR="00F73296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will remain achievable given the robust strategy and administrative measures below;</w:t>
      </w:r>
    </w:p>
    <w:p w:rsidR="00AD7042" w:rsidRPr="00AD7042" w:rsidRDefault="00FC2EE7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>strengthening tax administration and compliance,</w:t>
      </w:r>
      <w:r w:rsidRPr="00AD7042">
        <w:rPr>
          <w:rFonts w:ascii="Bookman Old Style" w:eastAsia="Times New Roman" w:hAnsi="Bookman Old Style" w:cs="Segoe UI"/>
          <w:iCs/>
          <w:sz w:val="24"/>
          <w:szCs w:val="24"/>
        </w:rPr>
        <w:t xml:space="preserve"> </w:t>
      </w:r>
    </w:p>
    <w:p w:rsidR="00AD7042" w:rsidRPr="00AD7042" w:rsidRDefault="00592AB7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AD7042">
        <w:rPr>
          <w:rFonts w:ascii="Bookman Old Style" w:eastAsia="Times New Roman" w:hAnsi="Bookman Old Style" w:cs="Segoe UI"/>
          <w:iCs/>
          <w:sz w:val="24"/>
          <w:szCs w:val="24"/>
        </w:rPr>
        <w:t xml:space="preserve">stakeholder engagements, </w:t>
      </w:r>
    </w:p>
    <w:p w:rsidR="00AD7042" w:rsidRPr="00AD7042" w:rsidRDefault="00592AB7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AD7042">
        <w:rPr>
          <w:rFonts w:ascii="Bookman Old Style" w:eastAsia="Times New Roman" w:hAnsi="Bookman Old Style" w:cs="Segoe UI"/>
          <w:iCs/>
          <w:sz w:val="24"/>
          <w:szCs w:val="24"/>
        </w:rPr>
        <w:t>improved staff accountability through the performance management system,</w:t>
      </w:r>
    </w:p>
    <w:p w:rsidR="00AD7042" w:rsidRPr="00AD7042" w:rsidRDefault="00FC2EE7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>enhancing the use of data analytics</w:t>
      </w:r>
      <w:r w:rsidR="002174AD"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>,</w:t>
      </w:r>
    </w:p>
    <w:p w:rsidR="00AD7042" w:rsidRPr="00AD7042" w:rsidRDefault="00AD7042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</w:rPr>
        <w:t>Improved R</w:t>
      </w:r>
      <w:r w:rsidR="00FC2EE7"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 xml:space="preserve">isk management to identify potential </w:t>
      </w:r>
      <w:r w:rsidR="002174AD"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 xml:space="preserve">Revenue </w:t>
      </w:r>
      <w:proofErr w:type="gramStart"/>
      <w:r w:rsidR="002174AD"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 xml:space="preserve">Leakages </w:t>
      </w:r>
      <w:r w:rsidR="00FC2EE7"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>,</w:t>
      </w:r>
      <w:proofErr w:type="gramEnd"/>
    </w:p>
    <w:p w:rsidR="00AD7042" w:rsidRPr="00AD7042" w:rsidRDefault="00AD7042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</w:rPr>
        <w:t>U</w:t>
      </w:r>
      <w:r w:rsidR="00FC2EE7" w:rsidRPr="00AD7042">
        <w:rPr>
          <w:rFonts w:ascii="Bookman Old Style" w:eastAsia="Times New Roman" w:hAnsi="Bookman Old Style" w:cs="Arial"/>
          <w:bCs/>
          <w:iCs/>
          <w:sz w:val="24"/>
          <w:szCs w:val="24"/>
        </w:rPr>
        <w:t>se of alternative dispute resolution,</w:t>
      </w:r>
      <w:r w:rsidR="00FC2EE7" w:rsidRPr="00AD7042">
        <w:rPr>
          <w:rFonts w:ascii="Bookman Old Style" w:eastAsiaTheme="minorHAnsi" w:hAnsi="Bookman Old Style" w:cstheme="minorBidi"/>
          <w:bCs/>
          <w:sz w:val="24"/>
          <w:szCs w:val="24"/>
        </w:rPr>
        <w:t xml:space="preserve"> </w:t>
      </w:r>
    </w:p>
    <w:p w:rsidR="00500E84" w:rsidRDefault="00FC2EE7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 w:rsidRPr="00AD7042">
        <w:rPr>
          <w:rFonts w:ascii="Bookman Old Style" w:eastAsia="Times New Roman" w:hAnsi="Bookman Old Style" w:cs="Arial"/>
          <w:bCs/>
          <w:sz w:val="24"/>
          <w:szCs w:val="24"/>
        </w:rPr>
        <w:t>strengthening science investigations and</w:t>
      </w:r>
    </w:p>
    <w:p w:rsidR="002174AD" w:rsidRPr="00AD7042" w:rsidRDefault="00500E84" w:rsidP="00AD7042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eastAsia="Times New Roman" w:hAnsi="Bookman Old Style" w:cs="Arial"/>
          <w:bCs/>
          <w:sz w:val="24"/>
          <w:szCs w:val="24"/>
        </w:rPr>
      </w:pPr>
      <w:r>
        <w:rPr>
          <w:rFonts w:ascii="Bookman Old Style" w:eastAsia="Times New Roman" w:hAnsi="Bookman Old Style" w:cs="Arial"/>
          <w:bCs/>
          <w:sz w:val="24"/>
          <w:szCs w:val="24"/>
        </w:rPr>
        <w:t>Improved</w:t>
      </w:r>
      <w:r w:rsidR="00FC2EE7" w:rsidRPr="00AD7042">
        <w:rPr>
          <w:rFonts w:ascii="Bookman Old Style" w:eastAsia="Times New Roman" w:hAnsi="Bookman Old Style" w:cs="Arial"/>
          <w:bCs/>
          <w:sz w:val="24"/>
          <w:szCs w:val="24"/>
        </w:rPr>
        <w:t xml:space="preserve"> border management.</w:t>
      </w:r>
    </w:p>
    <w:p w:rsidR="00500E84" w:rsidRPr="00500E84" w:rsidRDefault="002174AD" w:rsidP="00500E84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  <w:lang w:val="en"/>
        </w:rPr>
      </w:pPr>
      <w:r w:rsidRPr="00500E84">
        <w:rPr>
          <w:rFonts w:ascii="Bookman Old Style" w:eastAsia="Times New Roman" w:hAnsi="Bookman Old Style" w:cs="Arial"/>
          <w:bCs/>
          <w:sz w:val="24"/>
          <w:szCs w:val="24"/>
        </w:rPr>
        <w:t>Implementation of a</w:t>
      </w:r>
      <w:r w:rsidRPr="00500E84">
        <w:rPr>
          <w:rFonts w:ascii="Bookman Old Style" w:eastAsia="Times New Roman" w:hAnsi="Bookman Old Style" w:cs="Arial"/>
          <w:b/>
          <w:bCs/>
          <w:sz w:val="24"/>
          <w:szCs w:val="24"/>
        </w:rPr>
        <w:t xml:space="preserve"> </w:t>
      </w:r>
      <w:r w:rsidRPr="00500E84">
        <w:rPr>
          <w:rFonts w:ascii="Bookman Old Style" w:hAnsi="Bookman Old Style" w:cs="Arial"/>
          <w:color w:val="000000"/>
          <w:sz w:val="24"/>
          <w:szCs w:val="24"/>
          <w:lang w:val="en"/>
        </w:rPr>
        <w:t>Client-Centric Approach,</w:t>
      </w:r>
      <w:r w:rsidRPr="00500E84">
        <w:rPr>
          <w:rFonts w:ascii="Bookman Old Style" w:hAnsi="Bookman Old Style"/>
          <w:color w:val="212121"/>
          <w:sz w:val="24"/>
          <w:szCs w:val="24"/>
        </w:rPr>
        <w:t>   </w:t>
      </w:r>
    </w:p>
    <w:p w:rsidR="002174AD" w:rsidRPr="00500E84" w:rsidRDefault="00500E84" w:rsidP="00500E84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  <w:lang w:val="en"/>
        </w:rPr>
      </w:pPr>
      <w:r w:rsidRPr="00500E84">
        <w:rPr>
          <w:rFonts w:ascii="Bookman Old Style" w:hAnsi="Bookman Old Style" w:cs="Arial"/>
          <w:color w:val="000000"/>
          <w:sz w:val="24"/>
          <w:szCs w:val="24"/>
          <w:lang w:val="en"/>
        </w:rPr>
        <w:t xml:space="preserve"> </w:t>
      </w:r>
      <w:r w:rsidR="002174AD" w:rsidRPr="00500E84">
        <w:rPr>
          <w:rFonts w:ascii="Bookman Old Style" w:hAnsi="Bookman Old Style" w:cs="Arial"/>
          <w:color w:val="000000"/>
          <w:sz w:val="24"/>
          <w:szCs w:val="24"/>
          <w:lang w:val="en"/>
        </w:rPr>
        <w:t xml:space="preserve">Expanding the Reach of Tax Education; </w:t>
      </w:r>
      <w:bookmarkStart w:id="6" w:name="x__qev2uuiknje"/>
      <w:bookmarkEnd w:id="6"/>
    </w:p>
    <w:p w:rsidR="00F53457" w:rsidRPr="00500E84" w:rsidRDefault="00F53457" w:rsidP="00500E84">
      <w:pPr>
        <w:pStyle w:val="ListParagraph"/>
        <w:numPr>
          <w:ilvl w:val="0"/>
          <w:numId w:val="30"/>
        </w:numPr>
        <w:tabs>
          <w:tab w:val="center" w:pos="4514"/>
        </w:tabs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  <w:lang w:val="en"/>
        </w:rPr>
      </w:pPr>
      <w:r w:rsidRPr="00500E84">
        <w:rPr>
          <w:rFonts w:ascii="Bookman Old Style" w:hAnsi="Bookman Old Style" w:cs="Arial"/>
          <w:color w:val="000000"/>
          <w:sz w:val="24"/>
          <w:szCs w:val="24"/>
          <w:lang w:val="en"/>
        </w:rPr>
        <w:t>Tackling Corruption</w:t>
      </w:r>
      <w:r w:rsidR="002174AD" w:rsidRPr="00500E84">
        <w:rPr>
          <w:rFonts w:ascii="Bookman Old Style" w:hAnsi="Bookman Old Style" w:cs="Arial"/>
          <w:color w:val="000000"/>
          <w:sz w:val="24"/>
          <w:szCs w:val="24"/>
          <w:lang w:val="en"/>
        </w:rPr>
        <w:t xml:space="preserve"> and Integrity issues both among the staff and some Tax agents</w:t>
      </w:r>
    </w:p>
    <w:p w:rsidR="00F53457" w:rsidRPr="00AD7042" w:rsidRDefault="00F53457" w:rsidP="00165D8D">
      <w:pPr>
        <w:tabs>
          <w:tab w:val="center" w:pos="4514"/>
        </w:tabs>
        <w:spacing w:after="0" w:line="360" w:lineRule="auto"/>
        <w:ind w:left="-720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</w:pPr>
      <w:bookmarkStart w:id="7" w:name="x__nvso7nk8otc9"/>
      <w:bookmarkEnd w:id="7"/>
    </w:p>
    <w:p w:rsidR="00AD7042" w:rsidRDefault="00AD7042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</w:p>
    <w:p w:rsidR="00F03F2A" w:rsidRPr="00AD7042" w:rsidRDefault="000C0411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bCs/>
          <w:iCs/>
          <w:sz w:val="24"/>
          <w:szCs w:val="24"/>
        </w:rPr>
      </w:pPr>
      <w:r w:rsidRPr="00AD7042">
        <w:rPr>
          <w:rFonts w:ascii="Bookman Old Style" w:eastAsia="Times New Roman" w:hAnsi="Bookman Old Style" w:cs="Arial"/>
          <w:b/>
          <w:sz w:val="24"/>
          <w:szCs w:val="24"/>
          <w:u w:val="single"/>
        </w:rPr>
        <w:t>Conclusion:</w:t>
      </w:r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 </w:t>
      </w:r>
    </w:p>
    <w:p w:rsidR="000C0411" w:rsidRPr="00AD7042" w:rsidRDefault="000C0411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In order to successfully implement the above focus areas and strategies to realize the annual revenue target, it will therefore require a deliberate and concerted effort from all stakeholders involved in revenue collection. On our part as URA, we will </w:t>
      </w:r>
      <w:r w:rsidRPr="00AD7042">
        <w:rPr>
          <w:rFonts w:ascii="Bookman Old Style" w:eastAsia="Times New Roman" w:hAnsi="Bookman Old Style" w:cs="Arial"/>
          <w:sz w:val="24"/>
          <w:szCs w:val="24"/>
        </w:rPr>
        <w:lastRenderedPageBreak/>
        <w:t xml:space="preserve">continue to invest in efficient systems, </w:t>
      </w:r>
      <w:proofErr w:type="gramStart"/>
      <w:r w:rsidR="002174AD" w:rsidRPr="00AD7042">
        <w:rPr>
          <w:rFonts w:ascii="Bookman Old Style" w:eastAsia="Times New Roman" w:hAnsi="Bookman Old Style" w:cs="Arial"/>
          <w:sz w:val="24"/>
          <w:szCs w:val="24"/>
        </w:rPr>
        <w:t xml:space="preserve">simplifying </w:t>
      </w:r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 processes</w:t>
      </w:r>
      <w:proofErr w:type="gramEnd"/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 and building strategic partnerships to ensure smooth expeditious service delivery. </w:t>
      </w:r>
    </w:p>
    <w:p w:rsidR="000C0411" w:rsidRDefault="000C0411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I therefore take this opportunity to appreciate all our clients, partners and particularly the compliant taxpayers for </w:t>
      </w:r>
      <w:proofErr w:type="gramStart"/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making </w:t>
      </w:r>
      <w:r w:rsidR="002174AD" w:rsidRPr="00AD7042">
        <w:rPr>
          <w:rFonts w:ascii="Bookman Old Style" w:eastAsia="Times New Roman" w:hAnsi="Bookman Old Style" w:cs="Arial"/>
          <w:sz w:val="24"/>
          <w:szCs w:val="24"/>
        </w:rPr>
        <w:t xml:space="preserve"> the</w:t>
      </w:r>
      <w:proofErr w:type="gramEnd"/>
      <w:r w:rsidR="002174AD" w:rsidRPr="00AD7042">
        <w:rPr>
          <w:rFonts w:ascii="Bookman Old Style" w:eastAsia="Times New Roman" w:hAnsi="Bookman Old Style" w:cs="Arial"/>
          <w:sz w:val="24"/>
          <w:szCs w:val="24"/>
        </w:rPr>
        <w:t xml:space="preserve"> Half </w:t>
      </w:r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 year  surplus</w:t>
      </w:r>
      <w:r w:rsidR="002174AD" w:rsidRPr="00AD7042"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r w:rsidRPr="00AD7042">
        <w:rPr>
          <w:rFonts w:ascii="Bookman Old Style" w:eastAsia="Times New Roman" w:hAnsi="Bookman Old Style" w:cs="Arial"/>
          <w:sz w:val="24"/>
          <w:szCs w:val="24"/>
        </w:rPr>
        <w:t xml:space="preserve">that added additional revenue to the government’s basket in our concerted effort to develop Uganda together. </w:t>
      </w:r>
    </w:p>
    <w:p w:rsidR="00500E84" w:rsidRDefault="00500E84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Happy New year </w:t>
      </w:r>
    </w:p>
    <w:p w:rsidR="00500E84" w:rsidRPr="00AD7042" w:rsidRDefault="00500E84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0C0411" w:rsidRPr="00AD7042" w:rsidRDefault="000C0411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D7042">
        <w:rPr>
          <w:rFonts w:ascii="Bookman Old Style" w:eastAsia="Times New Roman" w:hAnsi="Bookman Old Style" w:cs="Arial"/>
          <w:b/>
          <w:sz w:val="24"/>
          <w:szCs w:val="24"/>
        </w:rPr>
        <w:t xml:space="preserve">For God and my Country </w:t>
      </w:r>
    </w:p>
    <w:p w:rsidR="000C0411" w:rsidRPr="00AD7042" w:rsidRDefault="000C0411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D7042">
        <w:rPr>
          <w:rFonts w:ascii="Bookman Old Style" w:eastAsia="Times New Roman" w:hAnsi="Bookman Old Style" w:cs="Arial"/>
          <w:b/>
          <w:sz w:val="24"/>
          <w:szCs w:val="24"/>
        </w:rPr>
        <w:t>John R.</w:t>
      </w:r>
      <w:r w:rsidR="00201E1D" w:rsidRPr="00AD704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AD7042">
        <w:rPr>
          <w:rFonts w:ascii="Bookman Old Style" w:eastAsia="Times New Roman" w:hAnsi="Bookman Old Style" w:cs="Arial"/>
          <w:b/>
          <w:sz w:val="24"/>
          <w:szCs w:val="24"/>
        </w:rPr>
        <w:t>Musinguzi</w:t>
      </w:r>
    </w:p>
    <w:p w:rsidR="000C0411" w:rsidRPr="00AD7042" w:rsidRDefault="000C0411" w:rsidP="00165D8D">
      <w:pPr>
        <w:spacing w:line="360" w:lineRule="auto"/>
        <w:ind w:left="-720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AD7042">
        <w:rPr>
          <w:rFonts w:ascii="Bookman Old Style" w:eastAsia="Times New Roman" w:hAnsi="Bookman Old Style" w:cs="Arial"/>
          <w:b/>
          <w:sz w:val="24"/>
          <w:szCs w:val="24"/>
        </w:rPr>
        <w:t>COMMISSIONER GENERAL</w:t>
      </w:r>
    </w:p>
    <w:p w:rsidR="008C1C11" w:rsidRPr="00AD7042" w:rsidRDefault="008C1C11" w:rsidP="00165D8D">
      <w:pPr>
        <w:spacing w:line="360" w:lineRule="auto"/>
        <w:ind w:left="-720"/>
        <w:jc w:val="both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1CEC" w:rsidRPr="00AD7042" w:rsidRDefault="00AD1CEC" w:rsidP="00AD1CEC">
      <w:pPr>
        <w:spacing w:line="360" w:lineRule="auto"/>
        <w:ind w:left="-720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1CEC" w:rsidRPr="00AD7042" w:rsidRDefault="00AD1CEC" w:rsidP="00AD1CEC">
      <w:pPr>
        <w:spacing w:line="360" w:lineRule="auto"/>
        <w:ind w:left="-720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1CEC" w:rsidRPr="00AD7042" w:rsidRDefault="00AD1CEC" w:rsidP="00AD1CEC">
      <w:pPr>
        <w:spacing w:line="360" w:lineRule="auto"/>
        <w:ind w:left="-720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1CEC" w:rsidRPr="00AD7042" w:rsidRDefault="00AD1CEC" w:rsidP="00AD1CEC">
      <w:pPr>
        <w:spacing w:line="360" w:lineRule="auto"/>
        <w:ind w:left="-720"/>
        <w:rPr>
          <w:rFonts w:ascii="Bookman Old Style" w:eastAsia="Times New Roman" w:hAnsi="Bookman Old Style"/>
          <w:bCs/>
          <w:iCs/>
          <w:sz w:val="24"/>
          <w:szCs w:val="24"/>
        </w:rPr>
      </w:pPr>
    </w:p>
    <w:p w:rsidR="00AD1CEC" w:rsidRPr="00AD7042" w:rsidRDefault="00AD1CEC" w:rsidP="00AD1CEC">
      <w:pPr>
        <w:spacing w:line="360" w:lineRule="auto"/>
        <w:ind w:left="-720"/>
        <w:rPr>
          <w:rFonts w:ascii="Bookman Old Style" w:eastAsia="Times New Roman" w:hAnsi="Bookman Old Style"/>
          <w:b/>
          <w:bCs/>
          <w:iCs/>
          <w:sz w:val="24"/>
          <w:szCs w:val="24"/>
        </w:rPr>
      </w:pPr>
    </w:p>
    <w:p w:rsidR="00AD1CEC" w:rsidRPr="00AD7042" w:rsidRDefault="00AD1CEC" w:rsidP="00AD1CEC">
      <w:pPr>
        <w:spacing w:line="360" w:lineRule="auto"/>
        <w:ind w:left="-720"/>
        <w:rPr>
          <w:rFonts w:ascii="Bookman Old Style" w:eastAsia="Times New Roman" w:hAnsi="Bookman Old Style"/>
          <w:b/>
          <w:bCs/>
          <w:iCs/>
          <w:sz w:val="24"/>
          <w:szCs w:val="24"/>
        </w:rPr>
      </w:pPr>
    </w:p>
    <w:p w:rsidR="00441FDF" w:rsidRPr="00AD7042" w:rsidRDefault="00441FDF" w:rsidP="00441FDF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val="en-GB" w:eastAsia="en-GB"/>
        </w:rPr>
      </w:pPr>
    </w:p>
    <w:p w:rsidR="00441FDF" w:rsidRPr="00AD7042" w:rsidRDefault="00441FDF" w:rsidP="00441FDF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val="en-GB" w:eastAsia="en-GB"/>
        </w:rPr>
      </w:pPr>
    </w:p>
    <w:p w:rsidR="00E67D82" w:rsidRPr="00AD7042" w:rsidRDefault="00E67D82" w:rsidP="00E67D82">
      <w:pPr>
        <w:spacing w:after="0" w:line="360" w:lineRule="auto"/>
        <w:jc w:val="both"/>
        <w:rPr>
          <w:rFonts w:ascii="Bookman Old Style" w:eastAsia="Times New Roman" w:hAnsi="Bookman Old Style"/>
          <w:b/>
          <w:bCs/>
          <w:iCs/>
          <w:sz w:val="24"/>
          <w:szCs w:val="24"/>
        </w:rPr>
      </w:pPr>
    </w:p>
    <w:sectPr w:rsidR="00E67D82" w:rsidRPr="00AD7042" w:rsidSect="0049079C">
      <w:footerReference w:type="default" r:id="rId10"/>
      <w:pgSz w:w="11906" w:h="16838"/>
      <w:pgMar w:top="1440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3D" w:rsidRDefault="00D3073D">
      <w:pPr>
        <w:spacing w:after="0" w:line="240" w:lineRule="auto"/>
      </w:pPr>
      <w:r>
        <w:separator/>
      </w:r>
    </w:p>
  </w:endnote>
  <w:endnote w:type="continuationSeparator" w:id="0">
    <w:p w:rsidR="00D3073D" w:rsidRDefault="00D3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9F" w:rsidRDefault="00202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9B5">
      <w:rPr>
        <w:noProof/>
      </w:rPr>
      <w:t>7</w:t>
    </w:r>
    <w:r>
      <w:rPr>
        <w:noProof/>
      </w:rPr>
      <w:fldChar w:fldCharType="end"/>
    </w:r>
  </w:p>
  <w:p w:rsidR="00202B9F" w:rsidRDefault="0020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3D" w:rsidRDefault="00D3073D">
      <w:pPr>
        <w:spacing w:after="0" w:line="240" w:lineRule="auto"/>
      </w:pPr>
      <w:r>
        <w:separator/>
      </w:r>
    </w:p>
  </w:footnote>
  <w:footnote w:type="continuationSeparator" w:id="0">
    <w:p w:rsidR="00D3073D" w:rsidRDefault="00D3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4F8F1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4940"/>
      </v:shape>
    </w:pict>
  </w:numPicBullet>
  <w:abstractNum w:abstractNumId="0" w15:restartNumberingAfterBreak="0">
    <w:nsid w:val="01170887"/>
    <w:multiLevelType w:val="hybridMultilevel"/>
    <w:tmpl w:val="8ADA301E"/>
    <w:lvl w:ilvl="0" w:tplc="24681A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F05"/>
    <w:multiLevelType w:val="hybridMultilevel"/>
    <w:tmpl w:val="52E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47DC"/>
    <w:multiLevelType w:val="multilevel"/>
    <w:tmpl w:val="9D5ECADA"/>
    <w:lvl w:ilvl="0">
      <w:start w:val="1"/>
      <w:numFmt w:val="decimal"/>
      <w:lvlText w:val="%1."/>
      <w:lvlJc w:val="left"/>
      <w:pPr>
        <w:ind w:left="-1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5" w:hanging="2160"/>
      </w:pPr>
      <w:rPr>
        <w:rFonts w:hint="default"/>
      </w:rPr>
    </w:lvl>
  </w:abstractNum>
  <w:abstractNum w:abstractNumId="3" w15:restartNumberingAfterBreak="0">
    <w:nsid w:val="0989101D"/>
    <w:multiLevelType w:val="hybridMultilevel"/>
    <w:tmpl w:val="9B549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A3FE4"/>
    <w:multiLevelType w:val="hybridMultilevel"/>
    <w:tmpl w:val="9D400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37D"/>
    <w:multiLevelType w:val="hybridMultilevel"/>
    <w:tmpl w:val="1E946C98"/>
    <w:lvl w:ilvl="0" w:tplc="9F4CC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7646"/>
    <w:multiLevelType w:val="hybridMultilevel"/>
    <w:tmpl w:val="B8AE97EA"/>
    <w:lvl w:ilvl="0" w:tplc="FE464A9C">
      <w:start w:val="5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7" w15:restartNumberingAfterBreak="0">
    <w:nsid w:val="14EC545B"/>
    <w:multiLevelType w:val="hybridMultilevel"/>
    <w:tmpl w:val="F640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F4746"/>
    <w:multiLevelType w:val="multilevel"/>
    <w:tmpl w:val="0A74612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BE3F75"/>
    <w:multiLevelType w:val="hybridMultilevel"/>
    <w:tmpl w:val="5B74EC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B75FD1"/>
    <w:multiLevelType w:val="hybridMultilevel"/>
    <w:tmpl w:val="43C4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413B8"/>
    <w:multiLevelType w:val="hybridMultilevel"/>
    <w:tmpl w:val="45C611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86577"/>
    <w:multiLevelType w:val="hybridMultilevel"/>
    <w:tmpl w:val="96D865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4290D"/>
    <w:multiLevelType w:val="hybridMultilevel"/>
    <w:tmpl w:val="3A949C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52A72C7"/>
    <w:multiLevelType w:val="hybridMultilevel"/>
    <w:tmpl w:val="F5D8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D9A"/>
    <w:multiLevelType w:val="hybridMultilevel"/>
    <w:tmpl w:val="119C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DA2"/>
    <w:multiLevelType w:val="hybridMultilevel"/>
    <w:tmpl w:val="ADAA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97769"/>
    <w:multiLevelType w:val="hybridMultilevel"/>
    <w:tmpl w:val="25964D9C"/>
    <w:lvl w:ilvl="0" w:tplc="200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87D4ED9"/>
    <w:multiLevelType w:val="hybridMultilevel"/>
    <w:tmpl w:val="1D8E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31EB"/>
    <w:multiLevelType w:val="hybridMultilevel"/>
    <w:tmpl w:val="9ABC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04A00"/>
    <w:multiLevelType w:val="hybridMultilevel"/>
    <w:tmpl w:val="99087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44141"/>
    <w:multiLevelType w:val="hybridMultilevel"/>
    <w:tmpl w:val="47168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74434"/>
    <w:multiLevelType w:val="hybridMultilevel"/>
    <w:tmpl w:val="6A6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DC0"/>
    <w:multiLevelType w:val="hybridMultilevel"/>
    <w:tmpl w:val="95BCB5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422816"/>
    <w:multiLevelType w:val="hybridMultilevel"/>
    <w:tmpl w:val="27704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45747"/>
    <w:multiLevelType w:val="hybridMultilevel"/>
    <w:tmpl w:val="FE06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D2C3C"/>
    <w:multiLevelType w:val="hybridMultilevel"/>
    <w:tmpl w:val="555871E0"/>
    <w:lvl w:ilvl="0" w:tplc="EA02DA40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6018F"/>
    <w:multiLevelType w:val="hybridMultilevel"/>
    <w:tmpl w:val="DE3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31192"/>
    <w:multiLevelType w:val="hybridMultilevel"/>
    <w:tmpl w:val="613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7665D"/>
    <w:multiLevelType w:val="hybridMultilevel"/>
    <w:tmpl w:val="251888F4"/>
    <w:lvl w:ilvl="0" w:tplc="DC5A1C4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5"/>
  </w:num>
  <w:num w:numId="5">
    <w:abstractNumId w:val="5"/>
  </w:num>
  <w:num w:numId="6">
    <w:abstractNumId w:val="27"/>
  </w:num>
  <w:num w:numId="7">
    <w:abstractNumId w:val="22"/>
  </w:num>
  <w:num w:numId="8">
    <w:abstractNumId w:val="7"/>
  </w:num>
  <w:num w:numId="9">
    <w:abstractNumId w:val="23"/>
  </w:num>
  <w:num w:numId="10">
    <w:abstractNumId w:val="8"/>
  </w:num>
  <w:num w:numId="11">
    <w:abstractNumId w:val="13"/>
  </w:num>
  <w:num w:numId="12">
    <w:abstractNumId w:val="24"/>
  </w:num>
  <w:num w:numId="13">
    <w:abstractNumId w:val="3"/>
  </w:num>
  <w:num w:numId="14">
    <w:abstractNumId w:val="26"/>
  </w:num>
  <w:num w:numId="15">
    <w:abstractNumId w:val="0"/>
  </w:num>
  <w:num w:numId="16">
    <w:abstractNumId w:val="9"/>
  </w:num>
  <w:num w:numId="17">
    <w:abstractNumId w:val="1"/>
  </w:num>
  <w:num w:numId="18">
    <w:abstractNumId w:val="16"/>
  </w:num>
  <w:num w:numId="19">
    <w:abstractNumId w:val="10"/>
  </w:num>
  <w:num w:numId="20">
    <w:abstractNumId w:val="25"/>
  </w:num>
  <w:num w:numId="21">
    <w:abstractNumId w:val="12"/>
  </w:num>
  <w:num w:numId="22">
    <w:abstractNumId w:val="28"/>
  </w:num>
  <w:num w:numId="23">
    <w:abstractNumId w:val="21"/>
  </w:num>
  <w:num w:numId="24">
    <w:abstractNumId w:val="20"/>
  </w:num>
  <w:num w:numId="25">
    <w:abstractNumId w:val="14"/>
  </w:num>
  <w:num w:numId="26">
    <w:abstractNumId w:val="29"/>
  </w:num>
  <w:num w:numId="27">
    <w:abstractNumId w:val="19"/>
  </w:num>
  <w:num w:numId="28">
    <w:abstractNumId w:val="18"/>
  </w:num>
  <w:num w:numId="29">
    <w:abstractNumId w:val="11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3F"/>
    <w:rsid w:val="00000182"/>
    <w:rsid w:val="00000F21"/>
    <w:rsid w:val="000025DC"/>
    <w:rsid w:val="00004E50"/>
    <w:rsid w:val="0000786F"/>
    <w:rsid w:val="00007D55"/>
    <w:rsid w:val="00011FB9"/>
    <w:rsid w:val="00020F9A"/>
    <w:rsid w:val="00023C4C"/>
    <w:rsid w:val="00031D40"/>
    <w:rsid w:val="00034E0F"/>
    <w:rsid w:val="00037812"/>
    <w:rsid w:val="00037A05"/>
    <w:rsid w:val="00040396"/>
    <w:rsid w:val="00040ECC"/>
    <w:rsid w:val="00041864"/>
    <w:rsid w:val="00043B57"/>
    <w:rsid w:val="00047C60"/>
    <w:rsid w:val="000512A3"/>
    <w:rsid w:val="00055F17"/>
    <w:rsid w:val="00056024"/>
    <w:rsid w:val="00060606"/>
    <w:rsid w:val="0006482E"/>
    <w:rsid w:val="00066639"/>
    <w:rsid w:val="00066D51"/>
    <w:rsid w:val="00071F83"/>
    <w:rsid w:val="00071FD1"/>
    <w:rsid w:val="000931DE"/>
    <w:rsid w:val="00094C32"/>
    <w:rsid w:val="000A0AB9"/>
    <w:rsid w:val="000A673B"/>
    <w:rsid w:val="000A7022"/>
    <w:rsid w:val="000B1161"/>
    <w:rsid w:val="000B36AD"/>
    <w:rsid w:val="000B4160"/>
    <w:rsid w:val="000B5751"/>
    <w:rsid w:val="000B6539"/>
    <w:rsid w:val="000C0411"/>
    <w:rsid w:val="000C1694"/>
    <w:rsid w:val="000C696A"/>
    <w:rsid w:val="000C75A3"/>
    <w:rsid w:val="000C767F"/>
    <w:rsid w:val="000D3720"/>
    <w:rsid w:val="000D622A"/>
    <w:rsid w:val="000D70F8"/>
    <w:rsid w:val="000E074A"/>
    <w:rsid w:val="000E26B3"/>
    <w:rsid w:val="000E2B54"/>
    <w:rsid w:val="000E4F52"/>
    <w:rsid w:val="000E5BC2"/>
    <w:rsid w:val="000E6B06"/>
    <w:rsid w:val="000F0EF0"/>
    <w:rsid w:val="000F2271"/>
    <w:rsid w:val="000F2FD6"/>
    <w:rsid w:val="0010283C"/>
    <w:rsid w:val="00104317"/>
    <w:rsid w:val="001071D2"/>
    <w:rsid w:val="00107445"/>
    <w:rsid w:val="00110AA1"/>
    <w:rsid w:val="0011175C"/>
    <w:rsid w:val="001168FA"/>
    <w:rsid w:val="0012056A"/>
    <w:rsid w:val="00127146"/>
    <w:rsid w:val="00127186"/>
    <w:rsid w:val="00127216"/>
    <w:rsid w:val="00130238"/>
    <w:rsid w:val="0013156B"/>
    <w:rsid w:val="00133A49"/>
    <w:rsid w:val="00134091"/>
    <w:rsid w:val="0013538E"/>
    <w:rsid w:val="00135765"/>
    <w:rsid w:val="00137194"/>
    <w:rsid w:val="001379A7"/>
    <w:rsid w:val="0014386A"/>
    <w:rsid w:val="001441F0"/>
    <w:rsid w:val="001477FF"/>
    <w:rsid w:val="001517F4"/>
    <w:rsid w:val="00151E29"/>
    <w:rsid w:val="001618F2"/>
    <w:rsid w:val="00161D3D"/>
    <w:rsid w:val="00164847"/>
    <w:rsid w:val="0016514C"/>
    <w:rsid w:val="00165D8D"/>
    <w:rsid w:val="00167172"/>
    <w:rsid w:val="00172940"/>
    <w:rsid w:val="00174798"/>
    <w:rsid w:val="001770D6"/>
    <w:rsid w:val="001809A9"/>
    <w:rsid w:val="00180B18"/>
    <w:rsid w:val="00180F90"/>
    <w:rsid w:val="00182813"/>
    <w:rsid w:val="00184106"/>
    <w:rsid w:val="00185A75"/>
    <w:rsid w:val="00190719"/>
    <w:rsid w:val="00192E57"/>
    <w:rsid w:val="001934CC"/>
    <w:rsid w:val="0019401E"/>
    <w:rsid w:val="00195D6F"/>
    <w:rsid w:val="00196E09"/>
    <w:rsid w:val="00196F6A"/>
    <w:rsid w:val="001A01E4"/>
    <w:rsid w:val="001A05F2"/>
    <w:rsid w:val="001A10BB"/>
    <w:rsid w:val="001A137C"/>
    <w:rsid w:val="001A279B"/>
    <w:rsid w:val="001A3AEA"/>
    <w:rsid w:val="001A4FD0"/>
    <w:rsid w:val="001A66DD"/>
    <w:rsid w:val="001A69F5"/>
    <w:rsid w:val="001A6ED3"/>
    <w:rsid w:val="001B24C2"/>
    <w:rsid w:val="001B2CB6"/>
    <w:rsid w:val="001B7D4D"/>
    <w:rsid w:val="001C3130"/>
    <w:rsid w:val="001C6A3A"/>
    <w:rsid w:val="001D071E"/>
    <w:rsid w:val="001D0CD7"/>
    <w:rsid w:val="001D3EE3"/>
    <w:rsid w:val="001D5952"/>
    <w:rsid w:val="001D6F1C"/>
    <w:rsid w:val="001E1119"/>
    <w:rsid w:val="001E154A"/>
    <w:rsid w:val="001E1706"/>
    <w:rsid w:val="001E30B6"/>
    <w:rsid w:val="001E32D5"/>
    <w:rsid w:val="001E3B2C"/>
    <w:rsid w:val="001E3F60"/>
    <w:rsid w:val="001E56FE"/>
    <w:rsid w:val="001E61EB"/>
    <w:rsid w:val="001F2D05"/>
    <w:rsid w:val="001F3F8D"/>
    <w:rsid w:val="001F556E"/>
    <w:rsid w:val="001F5693"/>
    <w:rsid w:val="001F5DA3"/>
    <w:rsid w:val="00201E1D"/>
    <w:rsid w:val="00202B35"/>
    <w:rsid w:val="00202B9F"/>
    <w:rsid w:val="0020544B"/>
    <w:rsid w:val="00206542"/>
    <w:rsid w:val="002073B7"/>
    <w:rsid w:val="00213313"/>
    <w:rsid w:val="00214C07"/>
    <w:rsid w:val="002166EB"/>
    <w:rsid w:val="002174AD"/>
    <w:rsid w:val="00217B64"/>
    <w:rsid w:val="00217C41"/>
    <w:rsid w:val="00220976"/>
    <w:rsid w:val="0022153F"/>
    <w:rsid w:val="00221F06"/>
    <w:rsid w:val="002234F3"/>
    <w:rsid w:val="00224DC5"/>
    <w:rsid w:val="0022537B"/>
    <w:rsid w:val="00230EE1"/>
    <w:rsid w:val="002330A2"/>
    <w:rsid w:val="00235C3F"/>
    <w:rsid w:val="00240E70"/>
    <w:rsid w:val="00242156"/>
    <w:rsid w:val="00244D32"/>
    <w:rsid w:val="002461CE"/>
    <w:rsid w:val="002526FA"/>
    <w:rsid w:val="002551B1"/>
    <w:rsid w:val="002552E9"/>
    <w:rsid w:val="0026014A"/>
    <w:rsid w:val="002641C8"/>
    <w:rsid w:val="00265A57"/>
    <w:rsid w:val="00265F43"/>
    <w:rsid w:val="0026604D"/>
    <w:rsid w:val="00266B8F"/>
    <w:rsid w:val="0027388D"/>
    <w:rsid w:val="002768FA"/>
    <w:rsid w:val="0028029D"/>
    <w:rsid w:val="002810A9"/>
    <w:rsid w:val="00281F4F"/>
    <w:rsid w:val="0028311B"/>
    <w:rsid w:val="002843EC"/>
    <w:rsid w:val="00285807"/>
    <w:rsid w:val="002A2B6F"/>
    <w:rsid w:val="002A35D6"/>
    <w:rsid w:val="002A40B9"/>
    <w:rsid w:val="002A5B80"/>
    <w:rsid w:val="002A6018"/>
    <w:rsid w:val="002B09BE"/>
    <w:rsid w:val="002B27DF"/>
    <w:rsid w:val="002B69C1"/>
    <w:rsid w:val="002B71B6"/>
    <w:rsid w:val="002C01FE"/>
    <w:rsid w:val="002C6056"/>
    <w:rsid w:val="002C6512"/>
    <w:rsid w:val="002D0350"/>
    <w:rsid w:val="002D0F19"/>
    <w:rsid w:val="002D1A41"/>
    <w:rsid w:val="002D5316"/>
    <w:rsid w:val="002E4767"/>
    <w:rsid w:val="002E4E6C"/>
    <w:rsid w:val="002F08EE"/>
    <w:rsid w:val="002F0AB9"/>
    <w:rsid w:val="002F59F8"/>
    <w:rsid w:val="002F5D8C"/>
    <w:rsid w:val="002F6635"/>
    <w:rsid w:val="0030001F"/>
    <w:rsid w:val="0030194C"/>
    <w:rsid w:val="00302FA5"/>
    <w:rsid w:val="003036E3"/>
    <w:rsid w:val="003037FF"/>
    <w:rsid w:val="00304DDC"/>
    <w:rsid w:val="003058EC"/>
    <w:rsid w:val="00310156"/>
    <w:rsid w:val="00310CAA"/>
    <w:rsid w:val="00312C6A"/>
    <w:rsid w:val="00315207"/>
    <w:rsid w:val="00317D19"/>
    <w:rsid w:val="00327C28"/>
    <w:rsid w:val="00333ECE"/>
    <w:rsid w:val="0033725C"/>
    <w:rsid w:val="00343135"/>
    <w:rsid w:val="00344DD9"/>
    <w:rsid w:val="00347191"/>
    <w:rsid w:val="00352354"/>
    <w:rsid w:val="003573DE"/>
    <w:rsid w:val="003577B5"/>
    <w:rsid w:val="003608A8"/>
    <w:rsid w:val="0036094E"/>
    <w:rsid w:val="0036190B"/>
    <w:rsid w:val="00364535"/>
    <w:rsid w:val="00364DD7"/>
    <w:rsid w:val="00374659"/>
    <w:rsid w:val="00376559"/>
    <w:rsid w:val="0038368C"/>
    <w:rsid w:val="00384B96"/>
    <w:rsid w:val="00385415"/>
    <w:rsid w:val="00390643"/>
    <w:rsid w:val="00395BA6"/>
    <w:rsid w:val="003A1C99"/>
    <w:rsid w:val="003A3A0D"/>
    <w:rsid w:val="003A557E"/>
    <w:rsid w:val="003A60C0"/>
    <w:rsid w:val="003A702B"/>
    <w:rsid w:val="003B27DD"/>
    <w:rsid w:val="003B3327"/>
    <w:rsid w:val="003B36EA"/>
    <w:rsid w:val="003B612D"/>
    <w:rsid w:val="003B6FA8"/>
    <w:rsid w:val="003B76D3"/>
    <w:rsid w:val="003C50CC"/>
    <w:rsid w:val="003C66E0"/>
    <w:rsid w:val="003D1971"/>
    <w:rsid w:val="003D37B4"/>
    <w:rsid w:val="003D7042"/>
    <w:rsid w:val="003E11A9"/>
    <w:rsid w:val="003E54B7"/>
    <w:rsid w:val="003E599A"/>
    <w:rsid w:val="003E7A9E"/>
    <w:rsid w:val="003F00CA"/>
    <w:rsid w:val="003F260C"/>
    <w:rsid w:val="003F3658"/>
    <w:rsid w:val="00400402"/>
    <w:rsid w:val="00402EB2"/>
    <w:rsid w:val="004038C0"/>
    <w:rsid w:val="00404134"/>
    <w:rsid w:val="004065B7"/>
    <w:rsid w:val="00407619"/>
    <w:rsid w:val="00410805"/>
    <w:rsid w:val="00415479"/>
    <w:rsid w:val="0041707B"/>
    <w:rsid w:val="00417359"/>
    <w:rsid w:val="00421275"/>
    <w:rsid w:val="004219CE"/>
    <w:rsid w:val="00422339"/>
    <w:rsid w:val="00425578"/>
    <w:rsid w:val="004332EA"/>
    <w:rsid w:val="0043375C"/>
    <w:rsid w:val="00436125"/>
    <w:rsid w:val="00436E53"/>
    <w:rsid w:val="004418C8"/>
    <w:rsid w:val="00441FDF"/>
    <w:rsid w:val="00443B75"/>
    <w:rsid w:val="00445410"/>
    <w:rsid w:val="00445446"/>
    <w:rsid w:val="00446888"/>
    <w:rsid w:val="00447472"/>
    <w:rsid w:val="00452BF6"/>
    <w:rsid w:val="0045550F"/>
    <w:rsid w:val="0045725C"/>
    <w:rsid w:val="004618D0"/>
    <w:rsid w:val="00464131"/>
    <w:rsid w:val="004703E5"/>
    <w:rsid w:val="0047351B"/>
    <w:rsid w:val="00477213"/>
    <w:rsid w:val="004810A5"/>
    <w:rsid w:val="004812A0"/>
    <w:rsid w:val="00484208"/>
    <w:rsid w:val="004874DD"/>
    <w:rsid w:val="0049079C"/>
    <w:rsid w:val="00491B9B"/>
    <w:rsid w:val="004932C5"/>
    <w:rsid w:val="00493B3A"/>
    <w:rsid w:val="0049453A"/>
    <w:rsid w:val="00494D04"/>
    <w:rsid w:val="00497F75"/>
    <w:rsid w:val="004A54A2"/>
    <w:rsid w:val="004B6CC1"/>
    <w:rsid w:val="004C14DD"/>
    <w:rsid w:val="004C1723"/>
    <w:rsid w:val="004C2228"/>
    <w:rsid w:val="004C483D"/>
    <w:rsid w:val="004C6B60"/>
    <w:rsid w:val="004C7FB6"/>
    <w:rsid w:val="004D07A9"/>
    <w:rsid w:val="004D0BFB"/>
    <w:rsid w:val="004D1BC8"/>
    <w:rsid w:val="004D2387"/>
    <w:rsid w:val="004D27B1"/>
    <w:rsid w:val="004D3921"/>
    <w:rsid w:val="004E0814"/>
    <w:rsid w:val="004E08CF"/>
    <w:rsid w:val="004E1229"/>
    <w:rsid w:val="004E1DD3"/>
    <w:rsid w:val="004E313F"/>
    <w:rsid w:val="004E347E"/>
    <w:rsid w:val="004F0FA3"/>
    <w:rsid w:val="004F21B1"/>
    <w:rsid w:val="004F62BC"/>
    <w:rsid w:val="004F7EFC"/>
    <w:rsid w:val="00500E84"/>
    <w:rsid w:val="00503B18"/>
    <w:rsid w:val="00504D55"/>
    <w:rsid w:val="00513AA1"/>
    <w:rsid w:val="00514B72"/>
    <w:rsid w:val="00520789"/>
    <w:rsid w:val="00526921"/>
    <w:rsid w:val="00527D0B"/>
    <w:rsid w:val="00531FA3"/>
    <w:rsid w:val="00534C94"/>
    <w:rsid w:val="00537661"/>
    <w:rsid w:val="00546788"/>
    <w:rsid w:val="00551A05"/>
    <w:rsid w:val="00551E5D"/>
    <w:rsid w:val="00553D7D"/>
    <w:rsid w:val="005549EA"/>
    <w:rsid w:val="00554B3B"/>
    <w:rsid w:val="00557A28"/>
    <w:rsid w:val="005618BA"/>
    <w:rsid w:val="005627F8"/>
    <w:rsid w:val="005632C5"/>
    <w:rsid w:val="005661F1"/>
    <w:rsid w:val="00573025"/>
    <w:rsid w:val="0057476F"/>
    <w:rsid w:val="00574B9C"/>
    <w:rsid w:val="005754A4"/>
    <w:rsid w:val="00581102"/>
    <w:rsid w:val="00590CB6"/>
    <w:rsid w:val="00591147"/>
    <w:rsid w:val="00591179"/>
    <w:rsid w:val="0059197B"/>
    <w:rsid w:val="00592AB7"/>
    <w:rsid w:val="00594838"/>
    <w:rsid w:val="005A0CA0"/>
    <w:rsid w:val="005A179F"/>
    <w:rsid w:val="005A32A5"/>
    <w:rsid w:val="005A675A"/>
    <w:rsid w:val="005A765A"/>
    <w:rsid w:val="005B61F6"/>
    <w:rsid w:val="005B6289"/>
    <w:rsid w:val="005C1E65"/>
    <w:rsid w:val="005C660B"/>
    <w:rsid w:val="005D099A"/>
    <w:rsid w:val="005D2FD2"/>
    <w:rsid w:val="005D7462"/>
    <w:rsid w:val="005F4578"/>
    <w:rsid w:val="005F47EE"/>
    <w:rsid w:val="005F5664"/>
    <w:rsid w:val="005F60DA"/>
    <w:rsid w:val="00600C63"/>
    <w:rsid w:val="00605A34"/>
    <w:rsid w:val="006063E2"/>
    <w:rsid w:val="006100EF"/>
    <w:rsid w:val="00610E82"/>
    <w:rsid w:val="00616CD9"/>
    <w:rsid w:val="00617DF0"/>
    <w:rsid w:val="006210FB"/>
    <w:rsid w:val="00625480"/>
    <w:rsid w:val="00630EE6"/>
    <w:rsid w:val="00632406"/>
    <w:rsid w:val="006342D1"/>
    <w:rsid w:val="00634AAB"/>
    <w:rsid w:val="00637644"/>
    <w:rsid w:val="00641199"/>
    <w:rsid w:val="006428B6"/>
    <w:rsid w:val="00644095"/>
    <w:rsid w:val="00644C16"/>
    <w:rsid w:val="0064707A"/>
    <w:rsid w:val="006502E1"/>
    <w:rsid w:val="006526EF"/>
    <w:rsid w:val="006562DB"/>
    <w:rsid w:val="00656998"/>
    <w:rsid w:val="00657096"/>
    <w:rsid w:val="006619C4"/>
    <w:rsid w:val="00661AB1"/>
    <w:rsid w:val="006624C7"/>
    <w:rsid w:val="006627BB"/>
    <w:rsid w:val="00662B12"/>
    <w:rsid w:val="00662CCA"/>
    <w:rsid w:val="006630AE"/>
    <w:rsid w:val="006649C5"/>
    <w:rsid w:val="0066614F"/>
    <w:rsid w:val="0066698E"/>
    <w:rsid w:val="00670F60"/>
    <w:rsid w:val="0068424E"/>
    <w:rsid w:val="006872A1"/>
    <w:rsid w:val="006874E8"/>
    <w:rsid w:val="00691351"/>
    <w:rsid w:val="00692630"/>
    <w:rsid w:val="00695A16"/>
    <w:rsid w:val="00697F4F"/>
    <w:rsid w:val="006A0EDA"/>
    <w:rsid w:val="006A2879"/>
    <w:rsid w:val="006A401B"/>
    <w:rsid w:val="006A60B7"/>
    <w:rsid w:val="006B350B"/>
    <w:rsid w:val="006B5AF9"/>
    <w:rsid w:val="006C19AA"/>
    <w:rsid w:val="006C53DB"/>
    <w:rsid w:val="006C659C"/>
    <w:rsid w:val="006C664F"/>
    <w:rsid w:val="006C6AE4"/>
    <w:rsid w:val="006C7A02"/>
    <w:rsid w:val="006D11A4"/>
    <w:rsid w:val="006D15F9"/>
    <w:rsid w:val="006E02FC"/>
    <w:rsid w:val="006E0A59"/>
    <w:rsid w:val="006E3779"/>
    <w:rsid w:val="006E7E4E"/>
    <w:rsid w:val="006F009C"/>
    <w:rsid w:val="006F08DA"/>
    <w:rsid w:val="006F0F17"/>
    <w:rsid w:val="006F144F"/>
    <w:rsid w:val="006F1C17"/>
    <w:rsid w:val="006F26A7"/>
    <w:rsid w:val="007101BD"/>
    <w:rsid w:val="007111B0"/>
    <w:rsid w:val="00715267"/>
    <w:rsid w:val="00716E97"/>
    <w:rsid w:val="00720940"/>
    <w:rsid w:val="007214EC"/>
    <w:rsid w:val="00723B15"/>
    <w:rsid w:val="00725505"/>
    <w:rsid w:val="00726060"/>
    <w:rsid w:val="00736295"/>
    <w:rsid w:val="00736EF6"/>
    <w:rsid w:val="007379B5"/>
    <w:rsid w:val="00740489"/>
    <w:rsid w:val="00740989"/>
    <w:rsid w:val="00742008"/>
    <w:rsid w:val="00743057"/>
    <w:rsid w:val="007464C7"/>
    <w:rsid w:val="00746A9A"/>
    <w:rsid w:val="007501B2"/>
    <w:rsid w:val="00750B42"/>
    <w:rsid w:val="00757512"/>
    <w:rsid w:val="00762992"/>
    <w:rsid w:val="0076476F"/>
    <w:rsid w:val="00766ABD"/>
    <w:rsid w:val="00767430"/>
    <w:rsid w:val="007703A5"/>
    <w:rsid w:val="00771079"/>
    <w:rsid w:val="00771731"/>
    <w:rsid w:val="00771C9E"/>
    <w:rsid w:val="007749E1"/>
    <w:rsid w:val="00776FE9"/>
    <w:rsid w:val="00777D1C"/>
    <w:rsid w:val="007818BB"/>
    <w:rsid w:val="007829DC"/>
    <w:rsid w:val="00783187"/>
    <w:rsid w:val="0078386A"/>
    <w:rsid w:val="00785D7A"/>
    <w:rsid w:val="00786023"/>
    <w:rsid w:val="0078746C"/>
    <w:rsid w:val="00791926"/>
    <w:rsid w:val="0079533C"/>
    <w:rsid w:val="00797BC6"/>
    <w:rsid w:val="007A4FE5"/>
    <w:rsid w:val="007A7658"/>
    <w:rsid w:val="007C0938"/>
    <w:rsid w:val="007C4EA1"/>
    <w:rsid w:val="007C7F76"/>
    <w:rsid w:val="007D000B"/>
    <w:rsid w:val="007D359E"/>
    <w:rsid w:val="007D46D3"/>
    <w:rsid w:val="007D4AEE"/>
    <w:rsid w:val="007D5034"/>
    <w:rsid w:val="007E0A75"/>
    <w:rsid w:val="007E5509"/>
    <w:rsid w:val="007F323C"/>
    <w:rsid w:val="007F4F86"/>
    <w:rsid w:val="007F5A13"/>
    <w:rsid w:val="007F76C7"/>
    <w:rsid w:val="00802C40"/>
    <w:rsid w:val="0080676F"/>
    <w:rsid w:val="0081046F"/>
    <w:rsid w:val="00812DE7"/>
    <w:rsid w:val="00814DED"/>
    <w:rsid w:val="008171FD"/>
    <w:rsid w:val="00820C3B"/>
    <w:rsid w:val="00821028"/>
    <w:rsid w:val="008223E4"/>
    <w:rsid w:val="008229F2"/>
    <w:rsid w:val="00824841"/>
    <w:rsid w:val="00824DC5"/>
    <w:rsid w:val="00825F1D"/>
    <w:rsid w:val="00826855"/>
    <w:rsid w:val="00827855"/>
    <w:rsid w:val="008325F0"/>
    <w:rsid w:val="00832B86"/>
    <w:rsid w:val="00832D47"/>
    <w:rsid w:val="008346A8"/>
    <w:rsid w:val="00840BDE"/>
    <w:rsid w:val="00843BC1"/>
    <w:rsid w:val="00856B09"/>
    <w:rsid w:val="00876083"/>
    <w:rsid w:val="00880F6E"/>
    <w:rsid w:val="00885B2E"/>
    <w:rsid w:val="00885C85"/>
    <w:rsid w:val="008874D2"/>
    <w:rsid w:val="008879CA"/>
    <w:rsid w:val="00891795"/>
    <w:rsid w:val="008A0808"/>
    <w:rsid w:val="008A1F5F"/>
    <w:rsid w:val="008A263E"/>
    <w:rsid w:val="008A317B"/>
    <w:rsid w:val="008A317E"/>
    <w:rsid w:val="008A54EA"/>
    <w:rsid w:val="008A6588"/>
    <w:rsid w:val="008A65AC"/>
    <w:rsid w:val="008A72BA"/>
    <w:rsid w:val="008A75CD"/>
    <w:rsid w:val="008B0A80"/>
    <w:rsid w:val="008B13E3"/>
    <w:rsid w:val="008B2244"/>
    <w:rsid w:val="008B2402"/>
    <w:rsid w:val="008B26D9"/>
    <w:rsid w:val="008B4FCF"/>
    <w:rsid w:val="008B572E"/>
    <w:rsid w:val="008C160C"/>
    <w:rsid w:val="008C1C11"/>
    <w:rsid w:val="008C50B7"/>
    <w:rsid w:val="008C518C"/>
    <w:rsid w:val="008C62C9"/>
    <w:rsid w:val="008C7061"/>
    <w:rsid w:val="008D2EBF"/>
    <w:rsid w:val="008D41BC"/>
    <w:rsid w:val="008D62B1"/>
    <w:rsid w:val="008E25BD"/>
    <w:rsid w:val="008E4602"/>
    <w:rsid w:val="008E769A"/>
    <w:rsid w:val="008F1ED3"/>
    <w:rsid w:val="008F2AF8"/>
    <w:rsid w:val="008F2C5A"/>
    <w:rsid w:val="008F38E5"/>
    <w:rsid w:val="008F39D6"/>
    <w:rsid w:val="008F51CC"/>
    <w:rsid w:val="008F5645"/>
    <w:rsid w:val="008F74A6"/>
    <w:rsid w:val="008F7BF8"/>
    <w:rsid w:val="0090131B"/>
    <w:rsid w:val="00902610"/>
    <w:rsid w:val="00907842"/>
    <w:rsid w:val="00910130"/>
    <w:rsid w:val="00915263"/>
    <w:rsid w:val="009250FF"/>
    <w:rsid w:val="009252A5"/>
    <w:rsid w:val="009278D8"/>
    <w:rsid w:val="009323AB"/>
    <w:rsid w:val="009326E3"/>
    <w:rsid w:val="00933F56"/>
    <w:rsid w:val="00934344"/>
    <w:rsid w:val="009347C0"/>
    <w:rsid w:val="0094083A"/>
    <w:rsid w:val="00942868"/>
    <w:rsid w:val="00944459"/>
    <w:rsid w:val="0095712F"/>
    <w:rsid w:val="0095757D"/>
    <w:rsid w:val="00957FC2"/>
    <w:rsid w:val="0097312A"/>
    <w:rsid w:val="00982220"/>
    <w:rsid w:val="009867FD"/>
    <w:rsid w:val="00991359"/>
    <w:rsid w:val="009932ED"/>
    <w:rsid w:val="0099425F"/>
    <w:rsid w:val="0099450B"/>
    <w:rsid w:val="009A0045"/>
    <w:rsid w:val="009A7E57"/>
    <w:rsid w:val="009B0F1B"/>
    <w:rsid w:val="009B1492"/>
    <w:rsid w:val="009B2D5F"/>
    <w:rsid w:val="009B5292"/>
    <w:rsid w:val="009B529C"/>
    <w:rsid w:val="009B5C08"/>
    <w:rsid w:val="009B6196"/>
    <w:rsid w:val="009B6BC2"/>
    <w:rsid w:val="009B761A"/>
    <w:rsid w:val="009C28C1"/>
    <w:rsid w:val="009C5CAF"/>
    <w:rsid w:val="009C6031"/>
    <w:rsid w:val="009C6DFE"/>
    <w:rsid w:val="009D02AD"/>
    <w:rsid w:val="009D095D"/>
    <w:rsid w:val="009D236B"/>
    <w:rsid w:val="009D26FE"/>
    <w:rsid w:val="009D3174"/>
    <w:rsid w:val="009D32C5"/>
    <w:rsid w:val="009D6054"/>
    <w:rsid w:val="009D6F20"/>
    <w:rsid w:val="009D76EA"/>
    <w:rsid w:val="009E0390"/>
    <w:rsid w:val="009F1257"/>
    <w:rsid w:val="009F14D9"/>
    <w:rsid w:val="009F2057"/>
    <w:rsid w:val="009F322E"/>
    <w:rsid w:val="009F4A7D"/>
    <w:rsid w:val="009F5B4D"/>
    <w:rsid w:val="009F62E7"/>
    <w:rsid w:val="009F67FB"/>
    <w:rsid w:val="009F78EE"/>
    <w:rsid w:val="00A01BE8"/>
    <w:rsid w:val="00A05ADA"/>
    <w:rsid w:val="00A11F09"/>
    <w:rsid w:val="00A127E5"/>
    <w:rsid w:val="00A144C9"/>
    <w:rsid w:val="00A14BE7"/>
    <w:rsid w:val="00A223D4"/>
    <w:rsid w:val="00A25AAA"/>
    <w:rsid w:val="00A26504"/>
    <w:rsid w:val="00A26A3A"/>
    <w:rsid w:val="00A312D3"/>
    <w:rsid w:val="00A31FC7"/>
    <w:rsid w:val="00A32042"/>
    <w:rsid w:val="00A32E16"/>
    <w:rsid w:val="00A33328"/>
    <w:rsid w:val="00A343C5"/>
    <w:rsid w:val="00A40069"/>
    <w:rsid w:val="00A42E5C"/>
    <w:rsid w:val="00A450CE"/>
    <w:rsid w:val="00A4533D"/>
    <w:rsid w:val="00A4592B"/>
    <w:rsid w:val="00A50169"/>
    <w:rsid w:val="00A51DF5"/>
    <w:rsid w:val="00A56579"/>
    <w:rsid w:val="00A61292"/>
    <w:rsid w:val="00A63D3B"/>
    <w:rsid w:val="00A644B1"/>
    <w:rsid w:val="00A66D63"/>
    <w:rsid w:val="00A71B83"/>
    <w:rsid w:val="00A73995"/>
    <w:rsid w:val="00A777E6"/>
    <w:rsid w:val="00A8089B"/>
    <w:rsid w:val="00A86997"/>
    <w:rsid w:val="00A92978"/>
    <w:rsid w:val="00A959EC"/>
    <w:rsid w:val="00A973BE"/>
    <w:rsid w:val="00A975DF"/>
    <w:rsid w:val="00AA047B"/>
    <w:rsid w:val="00AA15B3"/>
    <w:rsid w:val="00AA2847"/>
    <w:rsid w:val="00AA2D46"/>
    <w:rsid w:val="00AA4A44"/>
    <w:rsid w:val="00AA6EA4"/>
    <w:rsid w:val="00AB39B5"/>
    <w:rsid w:val="00AB4907"/>
    <w:rsid w:val="00AB5E2F"/>
    <w:rsid w:val="00AC41C5"/>
    <w:rsid w:val="00AC5EC3"/>
    <w:rsid w:val="00AD1CEC"/>
    <w:rsid w:val="00AD1E0D"/>
    <w:rsid w:val="00AD3340"/>
    <w:rsid w:val="00AD7042"/>
    <w:rsid w:val="00AD7602"/>
    <w:rsid w:val="00AE7FB7"/>
    <w:rsid w:val="00AF1410"/>
    <w:rsid w:val="00AF5E9B"/>
    <w:rsid w:val="00B01929"/>
    <w:rsid w:val="00B063BE"/>
    <w:rsid w:val="00B0674F"/>
    <w:rsid w:val="00B1356E"/>
    <w:rsid w:val="00B16BA5"/>
    <w:rsid w:val="00B16DC1"/>
    <w:rsid w:val="00B17390"/>
    <w:rsid w:val="00B20262"/>
    <w:rsid w:val="00B20A9A"/>
    <w:rsid w:val="00B21343"/>
    <w:rsid w:val="00B221AC"/>
    <w:rsid w:val="00B224CC"/>
    <w:rsid w:val="00B22B8A"/>
    <w:rsid w:val="00B2416D"/>
    <w:rsid w:val="00B2424C"/>
    <w:rsid w:val="00B24936"/>
    <w:rsid w:val="00B24BB3"/>
    <w:rsid w:val="00B24ED5"/>
    <w:rsid w:val="00B25C70"/>
    <w:rsid w:val="00B2684B"/>
    <w:rsid w:val="00B2766D"/>
    <w:rsid w:val="00B27C02"/>
    <w:rsid w:val="00B3344A"/>
    <w:rsid w:val="00B34170"/>
    <w:rsid w:val="00B40128"/>
    <w:rsid w:val="00B411C5"/>
    <w:rsid w:val="00B41A51"/>
    <w:rsid w:val="00B43CD3"/>
    <w:rsid w:val="00B479F3"/>
    <w:rsid w:val="00B47A49"/>
    <w:rsid w:val="00B47A94"/>
    <w:rsid w:val="00B50043"/>
    <w:rsid w:val="00B50282"/>
    <w:rsid w:val="00B51184"/>
    <w:rsid w:val="00B558D9"/>
    <w:rsid w:val="00B613B9"/>
    <w:rsid w:val="00B64FC5"/>
    <w:rsid w:val="00B70114"/>
    <w:rsid w:val="00B70648"/>
    <w:rsid w:val="00B73CDC"/>
    <w:rsid w:val="00B760F4"/>
    <w:rsid w:val="00B7756A"/>
    <w:rsid w:val="00B83297"/>
    <w:rsid w:val="00B85461"/>
    <w:rsid w:val="00B90612"/>
    <w:rsid w:val="00B90868"/>
    <w:rsid w:val="00B93FB5"/>
    <w:rsid w:val="00B96321"/>
    <w:rsid w:val="00BA2104"/>
    <w:rsid w:val="00BA2757"/>
    <w:rsid w:val="00BA54AE"/>
    <w:rsid w:val="00BA61CC"/>
    <w:rsid w:val="00BB090F"/>
    <w:rsid w:val="00BB0DF5"/>
    <w:rsid w:val="00BB39AB"/>
    <w:rsid w:val="00BB4BB1"/>
    <w:rsid w:val="00BB5F28"/>
    <w:rsid w:val="00BC0AFB"/>
    <w:rsid w:val="00BC13E0"/>
    <w:rsid w:val="00BC21D2"/>
    <w:rsid w:val="00BC35AF"/>
    <w:rsid w:val="00BC392B"/>
    <w:rsid w:val="00BD3175"/>
    <w:rsid w:val="00BD374E"/>
    <w:rsid w:val="00BD3D10"/>
    <w:rsid w:val="00BD5DC5"/>
    <w:rsid w:val="00BD65B8"/>
    <w:rsid w:val="00BD7614"/>
    <w:rsid w:val="00BE31E4"/>
    <w:rsid w:val="00BE483A"/>
    <w:rsid w:val="00BE4F37"/>
    <w:rsid w:val="00BE5004"/>
    <w:rsid w:val="00BE66E9"/>
    <w:rsid w:val="00BE6AC2"/>
    <w:rsid w:val="00BF0F7B"/>
    <w:rsid w:val="00BF11A9"/>
    <w:rsid w:val="00BF57CF"/>
    <w:rsid w:val="00BF6C77"/>
    <w:rsid w:val="00BF6ED3"/>
    <w:rsid w:val="00BF776A"/>
    <w:rsid w:val="00C0154B"/>
    <w:rsid w:val="00C10612"/>
    <w:rsid w:val="00C1148A"/>
    <w:rsid w:val="00C13AB1"/>
    <w:rsid w:val="00C1404C"/>
    <w:rsid w:val="00C14F86"/>
    <w:rsid w:val="00C178D4"/>
    <w:rsid w:val="00C17922"/>
    <w:rsid w:val="00C17E84"/>
    <w:rsid w:val="00C20342"/>
    <w:rsid w:val="00C20EA3"/>
    <w:rsid w:val="00C21DCE"/>
    <w:rsid w:val="00C23158"/>
    <w:rsid w:val="00C25F70"/>
    <w:rsid w:val="00C2635D"/>
    <w:rsid w:val="00C269ED"/>
    <w:rsid w:val="00C3260B"/>
    <w:rsid w:val="00C35333"/>
    <w:rsid w:val="00C40C43"/>
    <w:rsid w:val="00C40FD9"/>
    <w:rsid w:val="00C41720"/>
    <w:rsid w:val="00C41B67"/>
    <w:rsid w:val="00C424E2"/>
    <w:rsid w:val="00C424EF"/>
    <w:rsid w:val="00C425D2"/>
    <w:rsid w:val="00C43C1A"/>
    <w:rsid w:val="00C53E9E"/>
    <w:rsid w:val="00C563C0"/>
    <w:rsid w:val="00C600D3"/>
    <w:rsid w:val="00C63185"/>
    <w:rsid w:val="00C645C2"/>
    <w:rsid w:val="00C645F4"/>
    <w:rsid w:val="00C66619"/>
    <w:rsid w:val="00C8116B"/>
    <w:rsid w:val="00C83AE3"/>
    <w:rsid w:val="00C85BDA"/>
    <w:rsid w:val="00C86C27"/>
    <w:rsid w:val="00C90440"/>
    <w:rsid w:val="00C92FC6"/>
    <w:rsid w:val="00CA2A6E"/>
    <w:rsid w:val="00CB53C5"/>
    <w:rsid w:val="00CB55AB"/>
    <w:rsid w:val="00CB7733"/>
    <w:rsid w:val="00CC235D"/>
    <w:rsid w:val="00CC556A"/>
    <w:rsid w:val="00CC5BC1"/>
    <w:rsid w:val="00CC7D27"/>
    <w:rsid w:val="00CD044D"/>
    <w:rsid w:val="00CD0A5D"/>
    <w:rsid w:val="00CD31C6"/>
    <w:rsid w:val="00CD39AE"/>
    <w:rsid w:val="00CD4084"/>
    <w:rsid w:val="00CD4C79"/>
    <w:rsid w:val="00CD727F"/>
    <w:rsid w:val="00CD7C2E"/>
    <w:rsid w:val="00CE2C0E"/>
    <w:rsid w:val="00CE45EB"/>
    <w:rsid w:val="00CE5B08"/>
    <w:rsid w:val="00CE75DA"/>
    <w:rsid w:val="00CF05C7"/>
    <w:rsid w:val="00CF1E85"/>
    <w:rsid w:val="00D03210"/>
    <w:rsid w:val="00D032AB"/>
    <w:rsid w:val="00D04CA2"/>
    <w:rsid w:val="00D05F94"/>
    <w:rsid w:val="00D061BB"/>
    <w:rsid w:val="00D07773"/>
    <w:rsid w:val="00D1494E"/>
    <w:rsid w:val="00D15DFF"/>
    <w:rsid w:val="00D17373"/>
    <w:rsid w:val="00D20242"/>
    <w:rsid w:val="00D205BA"/>
    <w:rsid w:val="00D2227E"/>
    <w:rsid w:val="00D268D5"/>
    <w:rsid w:val="00D2721E"/>
    <w:rsid w:val="00D2729E"/>
    <w:rsid w:val="00D3073D"/>
    <w:rsid w:val="00D30B8A"/>
    <w:rsid w:val="00D30DDA"/>
    <w:rsid w:val="00D3579C"/>
    <w:rsid w:val="00D364B9"/>
    <w:rsid w:val="00D3769A"/>
    <w:rsid w:val="00D3781A"/>
    <w:rsid w:val="00D37AB9"/>
    <w:rsid w:val="00D37AD9"/>
    <w:rsid w:val="00D37BA6"/>
    <w:rsid w:val="00D4444A"/>
    <w:rsid w:val="00D44781"/>
    <w:rsid w:val="00D4618B"/>
    <w:rsid w:val="00D54552"/>
    <w:rsid w:val="00D5686A"/>
    <w:rsid w:val="00D5729F"/>
    <w:rsid w:val="00D63F99"/>
    <w:rsid w:val="00D64A99"/>
    <w:rsid w:val="00D7101B"/>
    <w:rsid w:val="00D72068"/>
    <w:rsid w:val="00D73415"/>
    <w:rsid w:val="00D74415"/>
    <w:rsid w:val="00D754E8"/>
    <w:rsid w:val="00D77125"/>
    <w:rsid w:val="00D80408"/>
    <w:rsid w:val="00D849A0"/>
    <w:rsid w:val="00D86D6C"/>
    <w:rsid w:val="00D87C17"/>
    <w:rsid w:val="00D87F2D"/>
    <w:rsid w:val="00D93200"/>
    <w:rsid w:val="00D94E3D"/>
    <w:rsid w:val="00D959AF"/>
    <w:rsid w:val="00D975F1"/>
    <w:rsid w:val="00D97AFB"/>
    <w:rsid w:val="00DA0B9B"/>
    <w:rsid w:val="00DA2432"/>
    <w:rsid w:val="00DA2AE2"/>
    <w:rsid w:val="00DA2B03"/>
    <w:rsid w:val="00DA4CE3"/>
    <w:rsid w:val="00DA5362"/>
    <w:rsid w:val="00DA5CB8"/>
    <w:rsid w:val="00DA64DF"/>
    <w:rsid w:val="00DB71FF"/>
    <w:rsid w:val="00DC01A3"/>
    <w:rsid w:val="00DC6524"/>
    <w:rsid w:val="00DD00BA"/>
    <w:rsid w:val="00DD3DDD"/>
    <w:rsid w:val="00DD630E"/>
    <w:rsid w:val="00DE2EE7"/>
    <w:rsid w:val="00DE3182"/>
    <w:rsid w:val="00DE609D"/>
    <w:rsid w:val="00DE658D"/>
    <w:rsid w:val="00DE78FA"/>
    <w:rsid w:val="00DF4497"/>
    <w:rsid w:val="00DF4B08"/>
    <w:rsid w:val="00DF4C35"/>
    <w:rsid w:val="00DF5855"/>
    <w:rsid w:val="00DF60B7"/>
    <w:rsid w:val="00DF6AC3"/>
    <w:rsid w:val="00E0013E"/>
    <w:rsid w:val="00E0455D"/>
    <w:rsid w:val="00E06CED"/>
    <w:rsid w:val="00E10229"/>
    <w:rsid w:val="00E10545"/>
    <w:rsid w:val="00E24855"/>
    <w:rsid w:val="00E25858"/>
    <w:rsid w:val="00E27003"/>
    <w:rsid w:val="00E2746C"/>
    <w:rsid w:val="00E27568"/>
    <w:rsid w:val="00E318A2"/>
    <w:rsid w:val="00E32A8A"/>
    <w:rsid w:val="00E335B2"/>
    <w:rsid w:val="00E36E0F"/>
    <w:rsid w:val="00E40CBB"/>
    <w:rsid w:val="00E41C32"/>
    <w:rsid w:val="00E4620A"/>
    <w:rsid w:val="00E46424"/>
    <w:rsid w:val="00E52F9A"/>
    <w:rsid w:val="00E54E1E"/>
    <w:rsid w:val="00E56485"/>
    <w:rsid w:val="00E56A3F"/>
    <w:rsid w:val="00E643E3"/>
    <w:rsid w:val="00E67AE2"/>
    <w:rsid w:val="00E67CBE"/>
    <w:rsid w:val="00E67D82"/>
    <w:rsid w:val="00E71D6D"/>
    <w:rsid w:val="00E73D38"/>
    <w:rsid w:val="00E747B5"/>
    <w:rsid w:val="00E747D0"/>
    <w:rsid w:val="00E76271"/>
    <w:rsid w:val="00E766EB"/>
    <w:rsid w:val="00E81A94"/>
    <w:rsid w:val="00E8426B"/>
    <w:rsid w:val="00E85F29"/>
    <w:rsid w:val="00E87C50"/>
    <w:rsid w:val="00E9080A"/>
    <w:rsid w:val="00E92F2C"/>
    <w:rsid w:val="00E96B4F"/>
    <w:rsid w:val="00E97987"/>
    <w:rsid w:val="00EA21A9"/>
    <w:rsid w:val="00EA2F8C"/>
    <w:rsid w:val="00EA3E7E"/>
    <w:rsid w:val="00EA5E6C"/>
    <w:rsid w:val="00EB0188"/>
    <w:rsid w:val="00EB163E"/>
    <w:rsid w:val="00EB49B5"/>
    <w:rsid w:val="00EB59FE"/>
    <w:rsid w:val="00EB7060"/>
    <w:rsid w:val="00EB72D1"/>
    <w:rsid w:val="00EC0083"/>
    <w:rsid w:val="00EC0403"/>
    <w:rsid w:val="00EC170A"/>
    <w:rsid w:val="00EC1B63"/>
    <w:rsid w:val="00EC1F86"/>
    <w:rsid w:val="00EC3061"/>
    <w:rsid w:val="00EC34E3"/>
    <w:rsid w:val="00EC501D"/>
    <w:rsid w:val="00EC503D"/>
    <w:rsid w:val="00ED19B5"/>
    <w:rsid w:val="00ED4AD8"/>
    <w:rsid w:val="00ED7402"/>
    <w:rsid w:val="00ED7F43"/>
    <w:rsid w:val="00EE1195"/>
    <w:rsid w:val="00EE1916"/>
    <w:rsid w:val="00EE33C6"/>
    <w:rsid w:val="00EE789C"/>
    <w:rsid w:val="00EE7BB7"/>
    <w:rsid w:val="00EF1AFA"/>
    <w:rsid w:val="00EF2A99"/>
    <w:rsid w:val="00EF3E98"/>
    <w:rsid w:val="00EF42C8"/>
    <w:rsid w:val="00EF42CF"/>
    <w:rsid w:val="00EF579D"/>
    <w:rsid w:val="00EF628D"/>
    <w:rsid w:val="00EF7051"/>
    <w:rsid w:val="00F03F2A"/>
    <w:rsid w:val="00F06FB8"/>
    <w:rsid w:val="00F11903"/>
    <w:rsid w:val="00F12B4E"/>
    <w:rsid w:val="00F20992"/>
    <w:rsid w:val="00F220B4"/>
    <w:rsid w:val="00F31510"/>
    <w:rsid w:val="00F33429"/>
    <w:rsid w:val="00F33D5B"/>
    <w:rsid w:val="00F34323"/>
    <w:rsid w:val="00F36C05"/>
    <w:rsid w:val="00F37499"/>
    <w:rsid w:val="00F401C9"/>
    <w:rsid w:val="00F406C4"/>
    <w:rsid w:val="00F411B9"/>
    <w:rsid w:val="00F4132D"/>
    <w:rsid w:val="00F4157E"/>
    <w:rsid w:val="00F4190F"/>
    <w:rsid w:val="00F41E93"/>
    <w:rsid w:val="00F42AC5"/>
    <w:rsid w:val="00F53457"/>
    <w:rsid w:val="00F540B8"/>
    <w:rsid w:val="00F561BA"/>
    <w:rsid w:val="00F61773"/>
    <w:rsid w:val="00F62532"/>
    <w:rsid w:val="00F632CB"/>
    <w:rsid w:val="00F63E51"/>
    <w:rsid w:val="00F65223"/>
    <w:rsid w:val="00F65685"/>
    <w:rsid w:val="00F65BB4"/>
    <w:rsid w:val="00F67930"/>
    <w:rsid w:val="00F67FE2"/>
    <w:rsid w:val="00F70951"/>
    <w:rsid w:val="00F713D1"/>
    <w:rsid w:val="00F716D2"/>
    <w:rsid w:val="00F73296"/>
    <w:rsid w:val="00F74107"/>
    <w:rsid w:val="00F75AEF"/>
    <w:rsid w:val="00F77394"/>
    <w:rsid w:val="00F77A48"/>
    <w:rsid w:val="00F810D6"/>
    <w:rsid w:val="00F821C7"/>
    <w:rsid w:val="00F833D0"/>
    <w:rsid w:val="00F847D5"/>
    <w:rsid w:val="00F855EE"/>
    <w:rsid w:val="00F93F5A"/>
    <w:rsid w:val="00FA3CEC"/>
    <w:rsid w:val="00FA59FD"/>
    <w:rsid w:val="00FA7A11"/>
    <w:rsid w:val="00FB4795"/>
    <w:rsid w:val="00FB47F8"/>
    <w:rsid w:val="00FB4CED"/>
    <w:rsid w:val="00FB5728"/>
    <w:rsid w:val="00FB5A4F"/>
    <w:rsid w:val="00FB644B"/>
    <w:rsid w:val="00FC0517"/>
    <w:rsid w:val="00FC2C5D"/>
    <w:rsid w:val="00FC2EE7"/>
    <w:rsid w:val="00FC4BE4"/>
    <w:rsid w:val="00FC7342"/>
    <w:rsid w:val="00FD0A5C"/>
    <w:rsid w:val="00FD3DA3"/>
    <w:rsid w:val="00FD4394"/>
    <w:rsid w:val="00FD5AF8"/>
    <w:rsid w:val="00FD5F91"/>
    <w:rsid w:val="00FE0209"/>
    <w:rsid w:val="00FE403E"/>
    <w:rsid w:val="00FE5A91"/>
    <w:rsid w:val="00FE7E6C"/>
    <w:rsid w:val="00FF21EB"/>
    <w:rsid w:val="00FF5F52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F182E"/>
  <w15:docId w15:val="{1222E1B9-38D6-463A-B8FF-FE7511D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OF TABLES.,List Paragraph1,References,ReferencesCxSpLast,Citation List,Bullets,List Paragraph (numbered (a)),references,List Bullet Mary,Ha,lp1,L4,Use Case List Paragraph,Bullet List Paragraph,Ref,List Paragraph11,List Paragraph111"/>
    <w:basedOn w:val="Normal"/>
    <w:link w:val="ListParagraphChar"/>
    <w:uiPriority w:val="34"/>
    <w:qFormat/>
    <w:rsid w:val="004E313F"/>
    <w:pPr>
      <w:ind w:left="720"/>
      <w:contextualSpacing/>
    </w:pPr>
  </w:style>
  <w:style w:type="character" w:customStyle="1" w:styleId="ListParagraphChar">
    <w:name w:val="List Paragraph Char"/>
    <w:aliases w:val="LIST OF TABLES. Char,List Paragraph1 Char,References Char,ReferencesCxSpLast Char,Citation List Char,Bullets Char,List Paragraph (numbered (a)) Char,references Char,List Bullet Mary Char,Ha Char,lp1 Char,L4 Char,Ref Char"/>
    <w:link w:val="ListParagraph"/>
    <w:uiPriority w:val="34"/>
    <w:rsid w:val="004E313F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E313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E313F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4E313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GridTable5Dark-Accent111">
    <w:name w:val="Grid Table 5 Dark - Accent 111"/>
    <w:basedOn w:val="TableNormal"/>
    <w:uiPriority w:val="50"/>
    <w:rsid w:val="004E313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customStyle="1" w:styleId="ms-rtefontface-3">
    <w:name w:val="ms-rtefontface-3"/>
    <w:basedOn w:val="DefaultParagraphFont"/>
    <w:rsid w:val="004E313F"/>
  </w:style>
  <w:style w:type="table" w:styleId="TableGrid">
    <w:name w:val="Table Grid"/>
    <w:basedOn w:val="TableNormal"/>
    <w:uiPriority w:val="39"/>
    <w:rsid w:val="003E54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5550F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val="en-GB" w:eastAsia="en-GB"/>
    </w:rPr>
  </w:style>
  <w:style w:type="table" w:customStyle="1" w:styleId="GridTable4-Accent512">
    <w:name w:val="Grid Table 4 - Accent 512"/>
    <w:basedOn w:val="TableNormal"/>
    <w:next w:val="TableNormal"/>
    <w:uiPriority w:val="49"/>
    <w:rsid w:val="0045550F"/>
    <w:rPr>
      <w:rFonts w:eastAsia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0238"/>
    <w:rPr>
      <w:rFonts w:ascii="Tahoma" w:eastAsia="Calibri" w:hAnsi="Tahoma" w:cs="Tahoma"/>
      <w:sz w:val="16"/>
      <w:szCs w:val="16"/>
      <w:lang w:val="en-US"/>
    </w:rPr>
  </w:style>
  <w:style w:type="table" w:customStyle="1" w:styleId="GridTable4-Accent5131">
    <w:name w:val="Grid Table 4 - Accent 5131"/>
    <w:basedOn w:val="TableNormal"/>
    <w:uiPriority w:val="49"/>
    <w:rsid w:val="0013023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E31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rsid w:val="00DE3182"/>
    <w:rPr>
      <w:sz w:val="20"/>
      <w:szCs w:val="20"/>
    </w:rPr>
  </w:style>
  <w:style w:type="character" w:styleId="FootnoteReference">
    <w:name w:val="footnote reference"/>
    <w:uiPriority w:val="99"/>
    <w:unhideWhenUsed/>
    <w:rsid w:val="00DE318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unhideWhenUsed/>
    <w:rsid w:val="00DE3182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E3182"/>
  </w:style>
  <w:style w:type="table" w:customStyle="1" w:styleId="GridTable4-Accent5121">
    <w:name w:val="Grid Table 4 - Accent 5121"/>
    <w:basedOn w:val="TableNormal"/>
    <w:next w:val="TableNormal"/>
    <w:uiPriority w:val="49"/>
    <w:rsid w:val="00DF60B7"/>
    <w:rPr>
      <w:rFonts w:eastAsia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122">
    <w:name w:val="Grid Table 4 - Accent 5122"/>
    <w:basedOn w:val="TableNormal"/>
    <w:next w:val="TableNormal"/>
    <w:uiPriority w:val="49"/>
    <w:rsid w:val="000B5751"/>
    <w:rPr>
      <w:rFonts w:eastAsia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Revision">
    <w:name w:val="Revision"/>
    <w:hidden/>
    <w:uiPriority w:val="99"/>
    <w:semiHidden/>
    <w:rsid w:val="001809A9"/>
    <w:rPr>
      <w:sz w:val="22"/>
      <w:szCs w:val="22"/>
    </w:rPr>
  </w:style>
  <w:style w:type="table" w:styleId="GridTable4-Accent5">
    <w:name w:val="Grid Table 4 Accent 5"/>
    <w:basedOn w:val="TableNormal"/>
    <w:uiPriority w:val="49"/>
    <w:rsid w:val="000A70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8F1ED3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1">
    <w:name w:val="List Table 4 Accent 1"/>
    <w:basedOn w:val="TableNormal"/>
    <w:uiPriority w:val="49"/>
    <w:rsid w:val="008F1ED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ceitemhidden">
    <w:name w:val="mceitemhidden"/>
    <w:basedOn w:val="DefaultParagraphFont"/>
    <w:rsid w:val="00DA64DF"/>
  </w:style>
  <w:style w:type="table" w:styleId="ListTable4-Accent2">
    <w:name w:val="List Table 4 Accent 2"/>
    <w:basedOn w:val="TableNormal"/>
    <w:uiPriority w:val="49"/>
    <w:rsid w:val="00504D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504D5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746A9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FB644B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1">
    <w:name w:val="Table Grid1"/>
    <w:basedOn w:val="TableNormal"/>
    <w:next w:val="TableGrid"/>
    <w:uiPriority w:val="39"/>
    <w:rsid w:val="00E67D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1D071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1D071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0">
    <w:name w:val="A0"/>
    <w:uiPriority w:val="99"/>
    <w:rsid w:val="00CA2A6E"/>
    <w:rPr>
      <w:rFonts w:cs="Gotham"/>
      <w:color w:val="000000"/>
      <w:sz w:val="18"/>
      <w:szCs w:val="18"/>
    </w:rPr>
  </w:style>
  <w:style w:type="paragraph" w:customStyle="1" w:styleId="footnotedescription">
    <w:name w:val="footnote description"/>
    <w:next w:val="Normal"/>
    <w:link w:val="footnotedescriptionChar"/>
    <w:hidden/>
    <w:rsid w:val="001A4FD0"/>
    <w:pPr>
      <w:spacing w:line="272" w:lineRule="auto"/>
      <w:ind w:left="428"/>
    </w:pPr>
    <w:rPr>
      <w:rFonts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A4FD0"/>
    <w:rPr>
      <w:rFonts w:cs="Calibri"/>
      <w:color w:val="000000"/>
      <w:szCs w:val="22"/>
    </w:rPr>
  </w:style>
  <w:style w:type="character" w:customStyle="1" w:styleId="footnotemark">
    <w:name w:val="footnote mark"/>
    <w:hidden/>
    <w:rsid w:val="001A4FD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Grid"/>
    <w:rsid w:val="001A4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221F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73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1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12A"/>
    <w:rPr>
      <w:b/>
      <w:bCs/>
    </w:rPr>
  </w:style>
  <w:style w:type="table" w:customStyle="1" w:styleId="GridTable4-Accent52">
    <w:name w:val="Grid Table 4 - Accent 52"/>
    <w:basedOn w:val="TableNormal"/>
    <w:next w:val="GridTable4-Accent5"/>
    <w:uiPriority w:val="49"/>
    <w:rsid w:val="006A401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112">
    <w:name w:val="Grid Table 4 - Accent 11112"/>
    <w:basedOn w:val="TableNormal"/>
    <w:uiPriority w:val="49"/>
    <w:rsid w:val="00180F90"/>
    <w:rPr>
      <w:rFonts w:eastAsia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534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F53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table" w:customStyle="1" w:styleId="GridTable4-Accent11111">
    <w:name w:val="Grid Table 4 - Accent 11111"/>
    <w:basedOn w:val="TableNormal"/>
    <w:uiPriority w:val="49"/>
    <w:rsid w:val="008F5645"/>
    <w:rPr>
      <w:rFonts w:eastAsia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95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71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1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44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906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9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6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lumala\AppData\Local\Microsoft\Windows\INetCache\Content.Outlook\576PDMFZ\Copy%20of%20Copy%20of%20rev%20tables_2024_25%20December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Revenue Collection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Sheet1!$A$3:$A$7</c:f>
              <c:strCache>
                <c:ptCount val="5"/>
                <c:pt idx="0">
                  <c:v>FY 2020/21</c:v>
                </c:pt>
                <c:pt idx="1">
                  <c:v>FY 2021/22</c:v>
                </c:pt>
                <c:pt idx="2">
                  <c:v>FY 2022/23</c:v>
                </c:pt>
                <c:pt idx="3">
                  <c:v>FY 2023/24</c:v>
                </c:pt>
                <c:pt idx="4">
                  <c:v>FY 2024/25</c:v>
                </c:pt>
              </c:strCache>
            </c:strRef>
          </c:cat>
          <c:val>
            <c:numRef>
              <c:f>Sheet1!$B$3:$B$7</c:f>
              <c:numCache>
                <c:formatCode>0.00</c:formatCode>
                <c:ptCount val="5"/>
                <c:pt idx="0">
                  <c:v>7910.9</c:v>
                </c:pt>
                <c:pt idx="1">
                  <c:v>10163.09</c:v>
                </c:pt>
                <c:pt idx="2">
                  <c:v>11670.03</c:v>
                </c:pt>
                <c:pt idx="3">
                  <c:v>13136.25</c:v>
                </c:pt>
                <c:pt idx="4">
                  <c:v>15248.99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56-4EB3-9838-0FDAB12C8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84118095"/>
        <c:axId val="562241279"/>
      </c:barChart>
      <c:lineChart>
        <c:grouping val="standard"/>
        <c:varyColors val="0"/>
        <c:ser>
          <c:idx val="1"/>
          <c:order val="1"/>
          <c:tx>
            <c:strRef>
              <c:f>Sheet1!$C$2</c:f>
              <c:strCache>
                <c:ptCount val="1"/>
                <c:pt idx="0">
                  <c:v>Growth 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A56-4EB3-9838-0FDAB12C8A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B05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Sheet1!$A$3:$A$7</c:f>
              <c:strCache>
                <c:ptCount val="5"/>
                <c:pt idx="0">
                  <c:v>FY 2020/21</c:v>
                </c:pt>
                <c:pt idx="1">
                  <c:v>FY 2021/22</c:v>
                </c:pt>
                <c:pt idx="2">
                  <c:v>FY 2022/23</c:v>
                </c:pt>
                <c:pt idx="3">
                  <c:v>FY 2023/24</c:v>
                </c:pt>
                <c:pt idx="4">
                  <c:v>FY 2024/25</c:v>
                </c:pt>
              </c:strCache>
            </c:strRef>
          </c:cat>
          <c:val>
            <c:numRef>
              <c:f>Sheet1!$C$3:$C$7</c:f>
              <c:numCache>
                <c:formatCode>0.00%</c:formatCode>
                <c:ptCount val="5"/>
                <c:pt idx="0">
                  <c:v>-0.125</c:v>
                </c:pt>
                <c:pt idx="1">
                  <c:v>7.2900000000000006E-2</c:v>
                </c:pt>
                <c:pt idx="2">
                  <c:v>0.14829999999999999</c:v>
                </c:pt>
                <c:pt idx="3">
                  <c:v>0.12839999999999999</c:v>
                </c:pt>
                <c:pt idx="4">
                  <c:v>0.1608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56-4EB3-9838-0FDAB12C8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9921023"/>
        <c:axId val="501775407"/>
      </c:lineChart>
      <c:catAx>
        <c:axId val="2084118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2241279"/>
        <c:crosses val="autoZero"/>
        <c:auto val="1"/>
        <c:lblAlgn val="ctr"/>
        <c:lblOffset val="100"/>
        <c:noMultiLvlLbl val="0"/>
      </c:catAx>
      <c:valAx>
        <c:axId val="562241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Revenue Collection (UGX Bn)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4118095"/>
        <c:crosses val="autoZero"/>
        <c:crossBetween val="between"/>
      </c:valAx>
      <c:valAx>
        <c:axId val="501775407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Growth (%%)</a:t>
                </a:r>
              </a:p>
              <a:p>
                <a:pPr>
                  <a:defRPr/>
                </a:pPr>
                <a:r>
                  <a:rPr lang="en-US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9921023"/>
        <c:crosses val="max"/>
        <c:crossBetween val="between"/>
      </c:valAx>
      <c:catAx>
        <c:axId val="187992102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0177540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rgbClr val="0070C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34E0-C956-4B9F-9E50-3D56F500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Nassanga</dc:creator>
  <cp:keywords/>
  <cp:lastModifiedBy>Immaculate Wanyetse</cp:lastModifiedBy>
  <cp:revision>4</cp:revision>
  <cp:lastPrinted>2021-07-14T14:14:00Z</cp:lastPrinted>
  <dcterms:created xsi:type="dcterms:W3CDTF">2025-01-08T06:52:00Z</dcterms:created>
  <dcterms:modified xsi:type="dcterms:W3CDTF">2025-01-08T08:32:00Z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f2610932c37f742971b091fa130d76c8ce9c12cdaf242a2e2ebab7aa38b523eb</vt:lpwstr>
  </property>
</Properties>
</file>